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郑州市农业产业化重点龙头企业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认定和运行监测管理办法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b w:val="0"/>
          <w:bCs w:val="0"/>
          <w:color w:val="000000"/>
          <w:sz w:val="30"/>
          <w:szCs w:val="30"/>
          <w:lang w:eastAsia="zh-CN"/>
        </w:rPr>
      </w:pPr>
      <w:r>
        <w:rPr>
          <w:rFonts w:hint="eastAsia" w:ascii="楷体" w:hAnsi="楷体" w:eastAsia="楷体" w:cs="楷体"/>
          <w:b w:val="0"/>
          <w:bCs w:val="0"/>
          <w:color w:val="000000"/>
          <w:sz w:val="30"/>
          <w:szCs w:val="30"/>
          <w:lang w:eastAsia="zh-CN"/>
        </w:rPr>
        <w:t>（征求意见稿）</w:t>
      </w:r>
    </w:p>
    <w:p>
      <w:pPr>
        <w:spacing w:line="360" w:lineRule="exact"/>
        <w:jc w:val="center"/>
        <w:rPr>
          <w:rFonts w:ascii="楷体" w:hAnsi="楷体" w:eastAsia="楷体"/>
          <w:color w:val="000000"/>
          <w:kern w:val="0"/>
          <w:sz w:val="32"/>
          <w:szCs w:val="32"/>
        </w:rPr>
      </w:pPr>
    </w:p>
    <w:p>
      <w:pPr>
        <w:snapToGrid w:val="0"/>
        <w:spacing w:line="560" w:lineRule="exact"/>
        <w:jc w:val="center"/>
        <w:rPr>
          <w:rFonts w:eastAsia="黑体"/>
          <w:color w:val="000000"/>
          <w:sz w:val="32"/>
          <w:szCs w:val="32"/>
        </w:rPr>
      </w:pPr>
      <w:r>
        <w:rPr>
          <w:rFonts w:hint="eastAsia" w:eastAsia="黑体" w:cs="黑体"/>
          <w:color w:val="000000"/>
          <w:sz w:val="32"/>
          <w:szCs w:val="32"/>
        </w:rPr>
        <w:t>第一章</w:t>
      </w:r>
      <w:r>
        <w:rPr>
          <w:rFonts w:eastAsia="黑体"/>
          <w:color w:val="000000"/>
          <w:sz w:val="32"/>
          <w:szCs w:val="32"/>
        </w:rPr>
        <w:t xml:space="preserve">  </w:t>
      </w:r>
      <w:r>
        <w:rPr>
          <w:rFonts w:hint="eastAsia" w:eastAsia="黑体" w:cs="黑体"/>
          <w:color w:val="000000"/>
          <w:sz w:val="32"/>
          <w:szCs w:val="32"/>
        </w:rPr>
        <w:t>总则</w:t>
      </w:r>
    </w:p>
    <w:p>
      <w:pPr>
        <w:spacing w:line="560" w:lineRule="exact"/>
        <w:ind w:firstLine="640" w:firstLineChars="200"/>
        <w:rPr>
          <w:rFonts w:eastAsia="仿宋_GB2312"/>
          <w:color w:val="000000"/>
          <w:sz w:val="32"/>
          <w:szCs w:val="32"/>
        </w:rPr>
      </w:pPr>
      <w:r>
        <w:rPr>
          <w:rFonts w:hint="eastAsia" w:eastAsia="黑体" w:cs="黑体"/>
          <w:color w:val="000000"/>
          <w:sz w:val="32"/>
          <w:szCs w:val="32"/>
        </w:rPr>
        <w:t>第一条</w:t>
      </w:r>
      <w:r>
        <w:rPr>
          <w:rFonts w:eastAsia="黑体"/>
          <w:color w:val="000000"/>
          <w:sz w:val="32"/>
          <w:szCs w:val="32"/>
        </w:rPr>
        <w:t xml:space="preserve">  </w:t>
      </w:r>
      <w:r>
        <w:rPr>
          <w:rFonts w:hint="eastAsia" w:eastAsia="仿宋_GB2312" w:cs="仿宋_GB2312"/>
          <w:color w:val="000000"/>
          <w:sz w:val="32"/>
          <w:szCs w:val="32"/>
        </w:rPr>
        <w:t>为进一步规范郑州市农业产业化重点龙头企业（以下简称</w:t>
      </w:r>
      <w:r>
        <w:rPr>
          <w:rFonts w:eastAsia="仿宋_GB2312"/>
          <w:color w:val="000000"/>
          <w:sz w:val="32"/>
          <w:szCs w:val="32"/>
        </w:rPr>
        <w:t>“</w:t>
      </w:r>
      <w:r>
        <w:rPr>
          <w:rFonts w:hint="eastAsia" w:eastAsia="仿宋_GB2312" w:cs="仿宋_GB2312"/>
          <w:color w:val="000000"/>
          <w:sz w:val="32"/>
          <w:szCs w:val="32"/>
        </w:rPr>
        <w:t>市重点龙头企业</w:t>
      </w:r>
      <w:r>
        <w:rPr>
          <w:rFonts w:eastAsia="仿宋_GB2312"/>
          <w:color w:val="000000"/>
          <w:sz w:val="32"/>
          <w:szCs w:val="32"/>
        </w:rPr>
        <w:t>”</w:t>
      </w:r>
      <w:r>
        <w:rPr>
          <w:rFonts w:hint="eastAsia" w:eastAsia="仿宋_GB2312" w:cs="仿宋_GB2312"/>
          <w:color w:val="000000"/>
          <w:sz w:val="32"/>
          <w:szCs w:val="32"/>
        </w:rPr>
        <w:t>）的认定和运行监测工作，加强对市重点龙头企业的指导、服务与扶持，培育壮大龙头企业，增强辐射带动能力，扶持龙头企业做大做强，依据国家级及省级农业产业化龙头企业认定和运行监测管理办法，特制定本办法。</w:t>
      </w:r>
    </w:p>
    <w:p>
      <w:pPr>
        <w:spacing w:line="560" w:lineRule="exact"/>
        <w:ind w:firstLine="640" w:firstLineChars="200"/>
        <w:rPr>
          <w:rFonts w:eastAsia="仿宋_GB2312"/>
          <w:color w:val="000000"/>
          <w:sz w:val="32"/>
          <w:szCs w:val="32"/>
        </w:rPr>
      </w:pPr>
      <w:r>
        <w:rPr>
          <w:rFonts w:hint="eastAsia" w:eastAsia="黑体" w:cs="黑体"/>
          <w:color w:val="000000"/>
          <w:sz w:val="32"/>
          <w:szCs w:val="32"/>
        </w:rPr>
        <w:t>第二条</w:t>
      </w:r>
      <w:r>
        <w:rPr>
          <w:rFonts w:eastAsia="仿宋_GB2312"/>
          <w:color w:val="000000"/>
          <w:sz w:val="32"/>
          <w:szCs w:val="32"/>
        </w:rPr>
        <w:t xml:space="preserve">  </w:t>
      </w:r>
      <w:r>
        <w:rPr>
          <w:rFonts w:hint="eastAsia" w:eastAsia="仿宋_GB2312" w:cs="仿宋_GB2312"/>
          <w:color w:val="000000"/>
          <w:sz w:val="32"/>
          <w:szCs w:val="32"/>
        </w:rPr>
        <w:t>市重点龙头企业的认定监测实行联席会议制度，市农委、</w:t>
      </w:r>
      <w:r>
        <w:rPr>
          <w:rFonts w:hint="eastAsia" w:eastAsia="仿宋_GB2312" w:cs="仿宋_GB2312"/>
          <w:sz w:val="32"/>
          <w:szCs w:val="32"/>
        </w:rPr>
        <w:t>发改委</w:t>
      </w:r>
      <w:r>
        <w:rPr>
          <w:rFonts w:hint="eastAsia" w:eastAsia="仿宋_GB2312" w:cs="仿宋_GB2312"/>
          <w:color w:val="000000"/>
          <w:sz w:val="32"/>
          <w:szCs w:val="32"/>
        </w:rPr>
        <w:t>、财政局、商务局、税务局、</w:t>
      </w:r>
      <w:r>
        <w:rPr>
          <w:rFonts w:hint="eastAsia" w:eastAsia="仿宋_GB2312" w:cs="仿宋_GB2312"/>
          <w:sz w:val="32"/>
          <w:szCs w:val="32"/>
        </w:rPr>
        <w:t>供销合作社</w:t>
      </w:r>
      <w:r>
        <w:rPr>
          <w:rFonts w:hint="eastAsia" w:eastAsia="仿宋_GB2312" w:cs="仿宋_GB2312"/>
          <w:color w:val="000000"/>
          <w:sz w:val="32"/>
          <w:szCs w:val="32"/>
        </w:rPr>
        <w:t>为市重点龙头企业联席会议成员单位，负责市重点龙头企业认定监测的重大事项。市农委负责市重点龙头企业申报、考察、评定和监测的具体组织工作。</w:t>
      </w:r>
    </w:p>
    <w:p>
      <w:pPr>
        <w:spacing w:line="560" w:lineRule="exact"/>
        <w:ind w:firstLine="640" w:firstLineChars="200"/>
        <w:rPr>
          <w:rFonts w:eastAsia="仿宋_GB2312"/>
          <w:color w:val="000000"/>
          <w:sz w:val="32"/>
          <w:szCs w:val="32"/>
        </w:rPr>
      </w:pPr>
      <w:r>
        <w:rPr>
          <w:rFonts w:hint="eastAsia" w:eastAsia="黑体" w:cs="黑体"/>
          <w:color w:val="000000"/>
          <w:sz w:val="32"/>
          <w:szCs w:val="32"/>
        </w:rPr>
        <w:t>第三条</w:t>
      </w:r>
      <w:r>
        <w:rPr>
          <w:rFonts w:eastAsia="黑体"/>
          <w:color w:val="000000"/>
          <w:sz w:val="32"/>
          <w:szCs w:val="32"/>
        </w:rPr>
        <w:t xml:space="preserve">  </w:t>
      </w:r>
      <w:r>
        <w:rPr>
          <w:rFonts w:hint="eastAsia" w:eastAsia="仿宋_GB2312" w:cs="仿宋_GB2312"/>
          <w:color w:val="000000"/>
          <w:sz w:val="32"/>
          <w:szCs w:val="32"/>
        </w:rPr>
        <w:t>市重点龙头企业是指在我市行政区域内以农产品生产、加工、流通、农产品电子商务和休闲农业为主业，通过合同、合作、股份合作等利益联结方式直接与农户紧密联系，使农产品生产、加工、销售有机结合、相互促进，在规模和经营指标上达到规定标准并经农业产业化市重点龙头企业</w:t>
      </w:r>
      <w:r>
        <w:rPr>
          <w:rFonts w:hint="eastAsia" w:eastAsia="仿宋_GB2312" w:cs="仿宋_GB2312"/>
          <w:sz w:val="32"/>
          <w:szCs w:val="32"/>
        </w:rPr>
        <w:t>联席会议认定的农业企业</w:t>
      </w:r>
      <w:r>
        <w:rPr>
          <w:rFonts w:hint="eastAsia" w:eastAsia="仿宋_GB2312" w:cs="仿宋_GB2312"/>
          <w:color w:val="000000"/>
          <w:sz w:val="32"/>
          <w:szCs w:val="32"/>
        </w:rPr>
        <w:t>。</w:t>
      </w:r>
    </w:p>
    <w:p>
      <w:pPr>
        <w:spacing w:line="560" w:lineRule="exact"/>
        <w:ind w:firstLine="640" w:firstLineChars="200"/>
        <w:rPr>
          <w:rFonts w:eastAsia="仿宋_GB2312"/>
          <w:color w:val="000000"/>
          <w:sz w:val="32"/>
          <w:szCs w:val="32"/>
        </w:rPr>
      </w:pPr>
      <w:r>
        <w:rPr>
          <w:rFonts w:hint="eastAsia" w:eastAsia="黑体" w:cs="黑体"/>
          <w:color w:val="000000"/>
          <w:sz w:val="32"/>
          <w:szCs w:val="32"/>
        </w:rPr>
        <w:t>第四条</w:t>
      </w:r>
      <w:r>
        <w:rPr>
          <w:rFonts w:eastAsia="黑体"/>
          <w:color w:val="000000"/>
          <w:sz w:val="32"/>
          <w:szCs w:val="32"/>
        </w:rPr>
        <w:t xml:space="preserve">  </w:t>
      </w:r>
      <w:r>
        <w:rPr>
          <w:rFonts w:hint="eastAsia" w:eastAsia="仿宋_GB2312" w:cs="仿宋_GB2312"/>
          <w:color w:val="000000"/>
          <w:sz w:val="32"/>
          <w:szCs w:val="32"/>
        </w:rPr>
        <w:t>市重点龙头企业认定和运行监测工作坚持公开、公平、公正原则，遵循市场经济规律，引进竞争淘汰机制，发挥中介机构和专家的作用，不干预企业经营自主权。</w:t>
      </w:r>
    </w:p>
    <w:p>
      <w:pPr>
        <w:snapToGrid w:val="0"/>
        <w:spacing w:line="560" w:lineRule="exact"/>
        <w:ind w:firstLine="640" w:firstLineChars="200"/>
        <w:rPr>
          <w:rFonts w:eastAsia="仿宋_GB2312"/>
          <w:color w:val="000000"/>
          <w:sz w:val="32"/>
          <w:szCs w:val="32"/>
        </w:rPr>
      </w:pPr>
      <w:r>
        <w:rPr>
          <w:rFonts w:hint="eastAsia" w:eastAsia="黑体" w:cs="黑体"/>
          <w:color w:val="000000"/>
          <w:sz w:val="32"/>
          <w:szCs w:val="32"/>
        </w:rPr>
        <w:t>第五条</w:t>
      </w:r>
      <w:r>
        <w:rPr>
          <w:rFonts w:eastAsia="仿宋_GB2312"/>
          <w:color w:val="000000"/>
          <w:sz w:val="32"/>
          <w:szCs w:val="32"/>
        </w:rPr>
        <w:t xml:space="preserve">  </w:t>
      </w:r>
      <w:r>
        <w:rPr>
          <w:rFonts w:hint="eastAsia" w:eastAsia="仿宋_GB2312" w:cs="仿宋_GB2312"/>
          <w:color w:val="000000"/>
          <w:sz w:val="32"/>
          <w:szCs w:val="32"/>
        </w:rPr>
        <w:t>凡申报</w:t>
      </w:r>
      <w:r>
        <w:rPr>
          <w:rFonts w:hint="eastAsia" w:eastAsia="仿宋_GB2312" w:cs="仿宋_GB2312"/>
          <w:sz w:val="32"/>
          <w:szCs w:val="32"/>
        </w:rPr>
        <w:t>或</w:t>
      </w:r>
      <w:r>
        <w:rPr>
          <w:rFonts w:hint="eastAsia" w:eastAsia="仿宋_GB2312" w:cs="仿宋_GB2312"/>
          <w:color w:val="000000"/>
          <w:sz w:val="32"/>
          <w:szCs w:val="32"/>
        </w:rPr>
        <w:t>已获准作为市重点龙头企业的企业，适用本办法。</w:t>
      </w:r>
    </w:p>
    <w:p>
      <w:pPr>
        <w:snapToGrid w:val="0"/>
        <w:spacing w:line="320" w:lineRule="exact"/>
        <w:jc w:val="center"/>
        <w:rPr>
          <w:rFonts w:eastAsia="黑体"/>
          <w:color w:val="000000"/>
          <w:sz w:val="32"/>
          <w:szCs w:val="32"/>
        </w:rPr>
      </w:pPr>
    </w:p>
    <w:p>
      <w:pPr>
        <w:snapToGrid w:val="0"/>
        <w:spacing w:line="560" w:lineRule="exact"/>
        <w:jc w:val="center"/>
        <w:rPr>
          <w:rFonts w:eastAsia="黑体"/>
          <w:color w:val="000000"/>
          <w:sz w:val="32"/>
          <w:szCs w:val="32"/>
        </w:rPr>
      </w:pPr>
      <w:r>
        <w:rPr>
          <w:rFonts w:hint="eastAsia" w:eastAsia="黑体" w:cs="黑体"/>
          <w:color w:val="000000"/>
          <w:sz w:val="32"/>
          <w:szCs w:val="32"/>
        </w:rPr>
        <w:t>第二章</w:t>
      </w:r>
      <w:r>
        <w:rPr>
          <w:rFonts w:eastAsia="黑体"/>
          <w:color w:val="000000"/>
          <w:sz w:val="32"/>
          <w:szCs w:val="32"/>
        </w:rPr>
        <w:t xml:space="preserve">  </w:t>
      </w:r>
      <w:r>
        <w:rPr>
          <w:rFonts w:hint="eastAsia" w:eastAsia="黑体" w:cs="黑体"/>
          <w:color w:val="000000"/>
          <w:sz w:val="32"/>
          <w:szCs w:val="32"/>
        </w:rPr>
        <w:t>申报条件</w:t>
      </w:r>
    </w:p>
    <w:p>
      <w:pPr>
        <w:spacing w:line="560" w:lineRule="exact"/>
        <w:ind w:firstLine="640" w:firstLineChars="200"/>
        <w:rPr>
          <w:rFonts w:eastAsia="仿宋_GB2312"/>
          <w:sz w:val="32"/>
          <w:szCs w:val="32"/>
        </w:rPr>
      </w:pPr>
      <w:r>
        <w:rPr>
          <w:rFonts w:hint="eastAsia" w:eastAsia="黑体" w:cs="黑体"/>
          <w:sz w:val="32"/>
          <w:szCs w:val="32"/>
        </w:rPr>
        <w:t>第六条</w:t>
      </w:r>
      <w:r>
        <w:rPr>
          <w:rFonts w:eastAsia="黑体"/>
          <w:sz w:val="32"/>
          <w:szCs w:val="32"/>
        </w:rPr>
        <w:t xml:space="preserve">  </w:t>
      </w:r>
      <w:r>
        <w:rPr>
          <w:rFonts w:hint="eastAsia" w:eastAsia="仿宋_GB2312" w:cs="仿宋_GB2312"/>
          <w:sz w:val="32"/>
          <w:szCs w:val="32"/>
        </w:rPr>
        <w:t>申报</w:t>
      </w:r>
      <w:r>
        <w:rPr>
          <w:rFonts w:hint="eastAsia" w:eastAsia="仿宋_GB2312" w:cs="仿宋_GB2312"/>
          <w:color w:val="000000"/>
          <w:sz w:val="32"/>
          <w:szCs w:val="32"/>
        </w:rPr>
        <w:t>市重点龙头企业</w:t>
      </w:r>
      <w:r>
        <w:rPr>
          <w:rFonts w:hint="eastAsia" w:eastAsia="仿宋_GB2312" w:cs="仿宋_GB2312"/>
          <w:sz w:val="32"/>
          <w:szCs w:val="32"/>
        </w:rPr>
        <w:t>应符合以下条件：</w:t>
      </w:r>
    </w:p>
    <w:p>
      <w:pPr>
        <w:spacing w:line="560" w:lineRule="exact"/>
        <w:ind w:firstLine="645"/>
        <w:rPr>
          <w:rFonts w:eastAsia="仿宋_GB2312"/>
          <w:b/>
          <w:bCs/>
          <w:sz w:val="32"/>
          <w:szCs w:val="32"/>
        </w:rPr>
      </w:pPr>
      <w:r>
        <w:rPr>
          <w:rFonts w:hint="eastAsia" w:eastAsia="仿宋_GB2312" w:cs="仿宋_GB2312"/>
          <w:b/>
          <w:bCs/>
          <w:sz w:val="32"/>
          <w:szCs w:val="32"/>
        </w:rPr>
        <w:t>（一）企业组织形式。</w:t>
      </w:r>
      <w:r>
        <w:rPr>
          <w:rFonts w:hint="eastAsia" w:eastAsia="仿宋_GB2312" w:cs="仿宋_GB2312"/>
          <w:sz w:val="32"/>
          <w:szCs w:val="32"/>
        </w:rPr>
        <w:t>申报企业必须是依法设立的以农产品生产、加工、流通、</w:t>
      </w:r>
      <w:r>
        <w:rPr>
          <w:rFonts w:hint="eastAsia" w:eastAsia="仿宋_GB2312" w:cs="仿宋_GB2312"/>
          <w:color w:val="000000"/>
          <w:sz w:val="32"/>
          <w:szCs w:val="32"/>
        </w:rPr>
        <w:t>农产品电子商务和休闲农业</w:t>
      </w:r>
      <w:r>
        <w:rPr>
          <w:rFonts w:hint="eastAsia" w:eastAsia="仿宋_GB2312" w:cs="仿宋_GB2312"/>
          <w:sz w:val="32"/>
          <w:szCs w:val="32"/>
        </w:rPr>
        <w:t>为主业，具有独立法人资格的企业，</w:t>
      </w:r>
      <w:r>
        <w:rPr>
          <w:rFonts w:hint="eastAsia" w:eastAsia="仿宋_GB2312" w:cs="仿宋_GB2312"/>
          <w:color w:val="000000"/>
          <w:sz w:val="32"/>
          <w:szCs w:val="32"/>
        </w:rPr>
        <w:t>包括直接在市场监督管理部门注册登记的农产品专业批发市场等</w:t>
      </w:r>
      <w:r>
        <w:rPr>
          <w:rFonts w:hint="eastAsia" w:eastAsia="仿宋_GB2312" w:cs="仿宋_GB2312"/>
          <w:sz w:val="32"/>
          <w:szCs w:val="32"/>
        </w:rPr>
        <w:t>。</w:t>
      </w:r>
    </w:p>
    <w:p>
      <w:pPr>
        <w:spacing w:line="560" w:lineRule="exact"/>
        <w:ind w:firstLine="642" w:firstLineChars="200"/>
        <w:rPr>
          <w:rFonts w:eastAsia="仿宋_GB2312"/>
          <w:b/>
          <w:bCs/>
          <w:sz w:val="32"/>
          <w:szCs w:val="32"/>
        </w:rPr>
      </w:pPr>
      <w:r>
        <w:rPr>
          <w:rFonts w:hint="eastAsia" w:eastAsia="仿宋_GB2312" w:cs="仿宋_GB2312"/>
          <w:b/>
          <w:bCs/>
          <w:sz w:val="32"/>
          <w:szCs w:val="32"/>
        </w:rPr>
        <w:t>（二）主营产品销售占比。</w:t>
      </w:r>
      <w:r>
        <w:rPr>
          <w:rFonts w:hint="eastAsia" w:eastAsia="仿宋_GB2312" w:cs="仿宋_GB2312"/>
          <w:sz w:val="32"/>
          <w:szCs w:val="32"/>
        </w:rPr>
        <w:t>以农产品生产、加工、流通、</w:t>
      </w:r>
      <w:r>
        <w:rPr>
          <w:rFonts w:hint="eastAsia" w:eastAsia="仿宋_GB2312" w:cs="仿宋_GB2312"/>
          <w:color w:val="000000"/>
          <w:sz w:val="32"/>
          <w:szCs w:val="32"/>
        </w:rPr>
        <w:t>农产品电商和休闲农业</w:t>
      </w:r>
      <w:r>
        <w:rPr>
          <w:rFonts w:hint="eastAsia" w:eastAsia="仿宋_GB2312" w:cs="仿宋_GB2312"/>
          <w:sz w:val="32"/>
          <w:szCs w:val="32"/>
        </w:rPr>
        <w:t>为主，企业经营的农产品销售额占企业总销售额的</w:t>
      </w:r>
      <w:r>
        <w:rPr>
          <w:rFonts w:eastAsia="仿宋_GB2312"/>
          <w:sz w:val="32"/>
          <w:szCs w:val="32"/>
        </w:rPr>
        <w:t>70</w:t>
      </w:r>
      <w:r>
        <w:rPr>
          <w:rFonts w:hint="eastAsia" w:eastAsia="仿宋_GB2312" w:cs="仿宋_GB2312"/>
          <w:sz w:val="32"/>
          <w:szCs w:val="32"/>
        </w:rPr>
        <w:t>％以上。</w:t>
      </w:r>
    </w:p>
    <w:p>
      <w:pPr>
        <w:spacing w:line="560" w:lineRule="exact"/>
        <w:ind w:firstLine="642" w:firstLineChars="200"/>
        <w:rPr>
          <w:rFonts w:eastAsia="仿宋_GB2312"/>
          <w:sz w:val="32"/>
          <w:szCs w:val="32"/>
        </w:rPr>
      </w:pPr>
      <w:r>
        <w:rPr>
          <w:rFonts w:hint="eastAsia" w:eastAsia="仿宋_GB2312" w:cs="仿宋_GB2312"/>
          <w:b/>
          <w:bCs/>
          <w:sz w:val="32"/>
          <w:szCs w:val="32"/>
        </w:rPr>
        <w:t>（三）企业规模。</w:t>
      </w:r>
      <w:r>
        <w:rPr>
          <w:rFonts w:hint="eastAsia" w:eastAsia="仿宋_GB2312" w:cs="仿宋_GB2312"/>
          <w:sz w:val="32"/>
          <w:szCs w:val="32"/>
        </w:rPr>
        <w:t>资产总额、固定资产、年销售收入分别为：</w:t>
      </w:r>
    </w:p>
    <w:p>
      <w:pPr>
        <w:spacing w:line="560" w:lineRule="exact"/>
        <w:ind w:firstLine="645"/>
        <w:rPr>
          <w:rFonts w:eastAsia="仿宋_GB2312"/>
          <w:color w:val="000000"/>
          <w:sz w:val="32"/>
          <w:szCs w:val="32"/>
        </w:rPr>
      </w:pPr>
      <w:r>
        <w:rPr>
          <w:rFonts w:eastAsia="仿宋_GB2312"/>
          <w:color w:val="000000"/>
          <w:sz w:val="32"/>
          <w:szCs w:val="32"/>
        </w:rPr>
        <w:t>1</w:t>
      </w:r>
      <w:r>
        <w:rPr>
          <w:rFonts w:hint="eastAsia" w:eastAsia="仿宋_GB2312" w:cs="仿宋_GB2312"/>
          <w:color w:val="000000"/>
          <w:sz w:val="32"/>
          <w:szCs w:val="32"/>
        </w:rPr>
        <w:t>．粮棉油类</w:t>
      </w:r>
      <w:r>
        <w:rPr>
          <w:rFonts w:eastAsia="仿宋_GB2312"/>
          <w:color w:val="000000"/>
          <w:sz w:val="32"/>
          <w:szCs w:val="32"/>
        </w:rPr>
        <w:t>2000</w:t>
      </w:r>
      <w:r>
        <w:rPr>
          <w:rFonts w:hint="eastAsia" w:eastAsia="仿宋_GB2312" w:cs="仿宋_GB2312"/>
          <w:color w:val="000000"/>
          <w:sz w:val="32"/>
          <w:szCs w:val="32"/>
        </w:rPr>
        <w:t>万元、</w:t>
      </w:r>
      <w:r>
        <w:rPr>
          <w:rFonts w:eastAsia="仿宋_GB2312"/>
          <w:color w:val="000000"/>
          <w:sz w:val="32"/>
          <w:szCs w:val="32"/>
        </w:rPr>
        <w:t>1000</w:t>
      </w:r>
      <w:r>
        <w:rPr>
          <w:rFonts w:hint="eastAsia" w:eastAsia="仿宋_GB2312" w:cs="仿宋_GB2312"/>
          <w:color w:val="000000"/>
          <w:sz w:val="32"/>
          <w:szCs w:val="32"/>
        </w:rPr>
        <w:t>万元、</w:t>
      </w:r>
      <w:r>
        <w:rPr>
          <w:rFonts w:eastAsia="仿宋_GB2312"/>
          <w:color w:val="000000"/>
          <w:sz w:val="32"/>
          <w:szCs w:val="32"/>
        </w:rPr>
        <w:t>3000</w:t>
      </w:r>
      <w:r>
        <w:rPr>
          <w:rFonts w:hint="eastAsia" w:eastAsia="仿宋_GB2312" w:cs="仿宋_GB2312"/>
          <w:color w:val="000000"/>
          <w:sz w:val="32"/>
          <w:szCs w:val="32"/>
        </w:rPr>
        <w:t>万元以上</w:t>
      </w:r>
      <w:r>
        <w:rPr>
          <w:rFonts w:eastAsia="仿宋_GB2312"/>
          <w:color w:val="000000"/>
          <w:sz w:val="32"/>
          <w:szCs w:val="32"/>
        </w:rPr>
        <w:t>;</w:t>
      </w:r>
    </w:p>
    <w:p>
      <w:pPr>
        <w:spacing w:line="560" w:lineRule="exact"/>
        <w:ind w:firstLine="645"/>
        <w:rPr>
          <w:rFonts w:eastAsia="仿宋_GB2312"/>
          <w:color w:val="000000"/>
          <w:sz w:val="32"/>
          <w:szCs w:val="32"/>
        </w:rPr>
      </w:pPr>
      <w:r>
        <w:rPr>
          <w:rFonts w:eastAsia="仿宋_GB2312"/>
          <w:color w:val="000000"/>
          <w:sz w:val="32"/>
          <w:szCs w:val="32"/>
        </w:rPr>
        <w:t>2</w:t>
      </w:r>
      <w:r>
        <w:rPr>
          <w:rFonts w:hint="eastAsia" w:eastAsia="仿宋_GB2312" w:cs="仿宋_GB2312"/>
          <w:color w:val="000000"/>
          <w:sz w:val="32"/>
          <w:szCs w:val="32"/>
        </w:rPr>
        <w:t>．畜禽类</w:t>
      </w:r>
      <w:r>
        <w:rPr>
          <w:rFonts w:eastAsia="仿宋_GB2312"/>
          <w:color w:val="000000"/>
          <w:sz w:val="32"/>
          <w:szCs w:val="32"/>
        </w:rPr>
        <w:t>2500</w:t>
      </w:r>
      <w:r>
        <w:rPr>
          <w:rFonts w:hint="eastAsia" w:eastAsia="仿宋_GB2312" w:cs="仿宋_GB2312"/>
          <w:color w:val="000000"/>
          <w:sz w:val="32"/>
          <w:szCs w:val="32"/>
        </w:rPr>
        <w:t>万元、</w:t>
      </w:r>
      <w:r>
        <w:rPr>
          <w:rFonts w:eastAsia="仿宋_GB2312"/>
          <w:color w:val="000000"/>
          <w:sz w:val="32"/>
          <w:szCs w:val="32"/>
        </w:rPr>
        <w:t>1000</w:t>
      </w:r>
      <w:r>
        <w:rPr>
          <w:rFonts w:hint="eastAsia" w:eastAsia="仿宋_GB2312" w:cs="仿宋_GB2312"/>
          <w:color w:val="000000"/>
          <w:sz w:val="32"/>
          <w:szCs w:val="32"/>
        </w:rPr>
        <w:t>万元、</w:t>
      </w:r>
      <w:r>
        <w:rPr>
          <w:rFonts w:eastAsia="仿宋_GB2312"/>
          <w:color w:val="000000"/>
          <w:sz w:val="32"/>
          <w:szCs w:val="32"/>
        </w:rPr>
        <w:t>3000</w:t>
      </w:r>
      <w:r>
        <w:rPr>
          <w:rFonts w:hint="eastAsia" w:eastAsia="仿宋_GB2312" w:cs="仿宋_GB2312"/>
          <w:color w:val="000000"/>
          <w:sz w:val="32"/>
          <w:szCs w:val="32"/>
        </w:rPr>
        <w:t>万元以上</w:t>
      </w:r>
      <w:r>
        <w:rPr>
          <w:rFonts w:eastAsia="仿宋_GB2312"/>
          <w:color w:val="000000"/>
          <w:sz w:val="32"/>
          <w:szCs w:val="32"/>
        </w:rPr>
        <w:t>;</w:t>
      </w:r>
    </w:p>
    <w:p>
      <w:pPr>
        <w:spacing w:line="560" w:lineRule="exact"/>
        <w:ind w:firstLine="630"/>
        <w:rPr>
          <w:rFonts w:eastAsia="仿宋_GB2312"/>
          <w:color w:val="000000"/>
          <w:sz w:val="32"/>
          <w:szCs w:val="32"/>
        </w:rPr>
      </w:pPr>
      <w:r>
        <w:rPr>
          <w:rFonts w:eastAsia="仿宋_GB2312"/>
          <w:color w:val="000000"/>
          <w:sz w:val="32"/>
          <w:szCs w:val="32"/>
        </w:rPr>
        <w:t>3</w:t>
      </w:r>
      <w:r>
        <w:rPr>
          <w:rFonts w:hint="eastAsia" w:eastAsia="仿宋_GB2312" w:cs="仿宋_GB2312"/>
          <w:color w:val="000000"/>
          <w:sz w:val="32"/>
          <w:szCs w:val="32"/>
        </w:rPr>
        <w:t>．特色种植、养殖类</w:t>
      </w:r>
      <w:r>
        <w:rPr>
          <w:rFonts w:eastAsia="仿宋_GB2312"/>
          <w:color w:val="000000"/>
          <w:sz w:val="32"/>
          <w:szCs w:val="32"/>
        </w:rPr>
        <w:t>1500</w:t>
      </w:r>
      <w:r>
        <w:rPr>
          <w:rFonts w:hint="eastAsia" w:eastAsia="仿宋_GB2312" w:cs="仿宋_GB2312"/>
          <w:color w:val="000000"/>
          <w:sz w:val="32"/>
          <w:szCs w:val="32"/>
        </w:rPr>
        <w:t>万元、</w:t>
      </w:r>
      <w:r>
        <w:rPr>
          <w:rFonts w:eastAsia="仿宋_GB2312"/>
          <w:color w:val="000000"/>
          <w:sz w:val="32"/>
          <w:szCs w:val="32"/>
        </w:rPr>
        <w:t>600</w:t>
      </w:r>
      <w:r>
        <w:rPr>
          <w:rFonts w:hint="eastAsia" w:eastAsia="仿宋_GB2312" w:cs="仿宋_GB2312"/>
          <w:color w:val="000000"/>
          <w:sz w:val="32"/>
          <w:szCs w:val="32"/>
        </w:rPr>
        <w:t>万元、</w:t>
      </w:r>
      <w:r>
        <w:rPr>
          <w:rFonts w:eastAsia="仿宋_GB2312"/>
          <w:color w:val="000000"/>
          <w:sz w:val="32"/>
          <w:szCs w:val="32"/>
        </w:rPr>
        <w:t>2000</w:t>
      </w:r>
      <w:r>
        <w:rPr>
          <w:rFonts w:hint="eastAsia" w:eastAsia="仿宋_GB2312" w:cs="仿宋_GB2312"/>
          <w:color w:val="000000"/>
          <w:sz w:val="32"/>
          <w:szCs w:val="32"/>
        </w:rPr>
        <w:t>万元以上</w:t>
      </w:r>
      <w:r>
        <w:rPr>
          <w:rFonts w:eastAsia="仿宋_GB2312"/>
          <w:color w:val="000000"/>
          <w:sz w:val="32"/>
          <w:szCs w:val="32"/>
        </w:rPr>
        <w:t>;</w:t>
      </w:r>
    </w:p>
    <w:p>
      <w:pPr>
        <w:spacing w:line="560" w:lineRule="exact"/>
        <w:ind w:firstLine="645"/>
        <w:rPr>
          <w:rFonts w:eastAsia="仿宋_GB2312"/>
          <w:color w:val="000000"/>
          <w:sz w:val="32"/>
          <w:szCs w:val="32"/>
        </w:rPr>
      </w:pPr>
      <w:r>
        <w:rPr>
          <w:rFonts w:eastAsia="仿宋_GB2312"/>
          <w:color w:val="000000"/>
          <w:sz w:val="32"/>
          <w:szCs w:val="32"/>
        </w:rPr>
        <w:t>4</w:t>
      </w:r>
      <w:r>
        <w:rPr>
          <w:rFonts w:hint="eastAsia" w:eastAsia="仿宋_GB2312" w:cs="仿宋_GB2312"/>
          <w:color w:val="000000"/>
          <w:sz w:val="32"/>
          <w:szCs w:val="32"/>
        </w:rPr>
        <w:t>．休闲农业类</w:t>
      </w:r>
      <w:r>
        <w:rPr>
          <w:rFonts w:eastAsia="仿宋_GB2312"/>
          <w:color w:val="000000"/>
          <w:sz w:val="32"/>
          <w:szCs w:val="32"/>
        </w:rPr>
        <w:t>1500</w:t>
      </w:r>
      <w:r>
        <w:rPr>
          <w:rFonts w:hint="eastAsia" w:eastAsia="仿宋_GB2312" w:cs="仿宋_GB2312"/>
          <w:color w:val="000000"/>
          <w:sz w:val="32"/>
          <w:szCs w:val="32"/>
        </w:rPr>
        <w:t>万元、</w:t>
      </w:r>
      <w:r>
        <w:rPr>
          <w:rFonts w:eastAsia="仿宋_GB2312"/>
          <w:color w:val="000000"/>
          <w:sz w:val="32"/>
          <w:szCs w:val="32"/>
        </w:rPr>
        <w:t>600</w:t>
      </w:r>
      <w:r>
        <w:rPr>
          <w:rFonts w:hint="eastAsia" w:eastAsia="仿宋_GB2312" w:cs="仿宋_GB2312"/>
          <w:color w:val="000000"/>
          <w:sz w:val="32"/>
          <w:szCs w:val="32"/>
        </w:rPr>
        <w:t>万元、</w:t>
      </w:r>
      <w:r>
        <w:rPr>
          <w:rFonts w:eastAsia="仿宋_GB2312"/>
          <w:color w:val="000000"/>
          <w:sz w:val="32"/>
          <w:szCs w:val="32"/>
        </w:rPr>
        <w:t>800</w:t>
      </w:r>
      <w:r>
        <w:rPr>
          <w:rFonts w:hint="eastAsia" w:eastAsia="仿宋_GB2312" w:cs="仿宋_GB2312"/>
          <w:color w:val="000000"/>
          <w:sz w:val="32"/>
          <w:szCs w:val="32"/>
        </w:rPr>
        <w:t>万元</w:t>
      </w:r>
      <w:r>
        <w:rPr>
          <w:rFonts w:eastAsia="仿宋_GB2312"/>
          <w:color w:val="000000"/>
          <w:sz w:val="32"/>
          <w:szCs w:val="32"/>
        </w:rPr>
        <w:t>,</w:t>
      </w:r>
      <w:r>
        <w:rPr>
          <w:rFonts w:hint="eastAsia" w:eastAsia="仿宋_GB2312" w:cs="仿宋_GB2312"/>
          <w:color w:val="000000"/>
          <w:sz w:val="32"/>
          <w:szCs w:val="32"/>
        </w:rPr>
        <w:t>年接待游客</w:t>
      </w:r>
      <w:r>
        <w:rPr>
          <w:rFonts w:eastAsia="仿宋_GB2312"/>
          <w:color w:val="000000"/>
          <w:sz w:val="32"/>
          <w:szCs w:val="32"/>
        </w:rPr>
        <w:t>3</w:t>
      </w:r>
      <w:r>
        <w:rPr>
          <w:rFonts w:hint="eastAsia" w:eastAsia="仿宋_GB2312" w:cs="仿宋_GB2312"/>
          <w:color w:val="000000"/>
          <w:sz w:val="32"/>
          <w:szCs w:val="32"/>
        </w:rPr>
        <w:t>万人次以上；</w:t>
      </w:r>
    </w:p>
    <w:p>
      <w:pPr>
        <w:spacing w:line="560" w:lineRule="exact"/>
        <w:ind w:firstLine="645"/>
        <w:rPr>
          <w:rFonts w:eastAsia="仿宋_GB2312"/>
          <w:color w:val="000000"/>
          <w:sz w:val="32"/>
          <w:szCs w:val="32"/>
        </w:rPr>
      </w:pPr>
      <w:r>
        <w:rPr>
          <w:rFonts w:eastAsia="仿宋_GB2312"/>
          <w:color w:val="000000"/>
          <w:sz w:val="32"/>
          <w:szCs w:val="32"/>
        </w:rPr>
        <w:t>5</w:t>
      </w:r>
      <w:r>
        <w:rPr>
          <w:rFonts w:hint="eastAsia" w:eastAsia="仿宋_GB2312" w:cs="仿宋_GB2312"/>
          <w:color w:val="000000"/>
          <w:sz w:val="32"/>
          <w:szCs w:val="32"/>
        </w:rPr>
        <w:t>．流通类企业</w:t>
      </w:r>
      <w:r>
        <w:rPr>
          <w:rFonts w:eastAsia="仿宋_GB2312"/>
          <w:color w:val="000000"/>
          <w:sz w:val="32"/>
          <w:szCs w:val="32"/>
        </w:rPr>
        <w:t>2000</w:t>
      </w:r>
      <w:r>
        <w:rPr>
          <w:rFonts w:hint="eastAsia" w:eastAsia="仿宋_GB2312" w:cs="仿宋_GB2312"/>
          <w:color w:val="000000"/>
          <w:sz w:val="32"/>
          <w:szCs w:val="32"/>
        </w:rPr>
        <w:t>万元、</w:t>
      </w:r>
      <w:r>
        <w:rPr>
          <w:rFonts w:eastAsia="仿宋_GB2312"/>
          <w:color w:val="000000"/>
          <w:sz w:val="32"/>
          <w:szCs w:val="32"/>
        </w:rPr>
        <w:t>800</w:t>
      </w:r>
      <w:r>
        <w:rPr>
          <w:rFonts w:hint="eastAsia" w:eastAsia="仿宋_GB2312" w:cs="仿宋_GB2312"/>
          <w:color w:val="000000"/>
          <w:sz w:val="32"/>
          <w:szCs w:val="32"/>
        </w:rPr>
        <w:t>万元、</w:t>
      </w:r>
      <w:r>
        <w:rPr>
          <w:rFonts w:eastAsia="仿宋_GB2312"/>
          <w:color w:val="000000"/>
          <w:sz w:val="32"/>
          <w:szCs w:val="32"/>
        </w:rPr>
        <w:t>3000</w:t>
      </w:r>
      <w:r>
        <w:rPr>
          <w:rFonts w:hint="eastAsia" w:eastAsia="仿宋_GB2312" w:cs="仿宋_GB2312"/>
          <w:color w:val="000000"/>
          <w:sz w:val="32"/>
          <w:szCs w:val="32"/>
        </w:rPr>
        <w:t>万元以上；</w:t>
      </w:r>
    </w:p>
    <w:p>
      <w:pPr>
        <w:spacing w:line="560" w:lineRule="exact"/>
        <w:ind w:firstLine="640" w:firstLineChars="200"/>
        <w:rPr>
          <w:rFonts w:eastAsia="仿宋_GB2312"/>
          <w:color w:val="000000"/>
          <w:sz w:val="32"/>
          <w:szCs w:val="32"/>
        </w:rPr>
      </w:pPr>
      <w:r>
        <w:rPr>
          <w:rFonts w:hint="eastAsia" w:eastAsia="仿宋_GB2312" w:cs="仿宋_GB2312"/>
          <w:color w:val="000000"/>
          <w:sz w:val="32"/>
          <w:szCs w:val="32"/>
        </w:rPr>
        <w:t>农产品电商企业年交易额</w:t>
      </w:r>
      <w:r>
        <w:rPr>
          <w:rFonts w:eastAsia="仿宋_GB2312"/>
          <w:color w:val="000000"/>
          <w:sz w:val="32"/>
          <w:szCs w:val="32"/>
        </w:rPr>
        <w:t>1500</w:t>
      </w:r>
      <w:r>
        <w:rPr>
          <w:rFonts w:hint="eastAsia" w:eastAsia="仿宋_GB2312" w:cs="仿宋_GB2312"/>
          <w:color w:val="000000"/>
          <w:sz w:val="32"/>
          <w:szCs w:val="32"/>
        </w:rPr>
        <w:t>万元以上，其中农产品网络交易额占年交易额</w:t>
      </w:r>
      <w:r>
        <w:rPr>
          <w:rFonts w:eastAsia="仿宋_GB2312"/>
          <w:color w:val="000000"/>
          <w:sz w:val="32"/>
          <w:szCs w:val="32"/>
        </w:rPr>
        <w:t>70%</w:t>
      </w:r>
      <w:r>
        <w:rPr>
          <w:rFonts w:hint="eastAsia" w:eastAsia="仿宋_GB2312" w:cs="仿宋_GB2312"/>
          <w:color w:val="000000"/>
          <w:sz w:val="32"/>
          <w:szCs w:val="32"/>
        </w:rPr>
        <w:t>以上；农产品专业批发市场年交易额</w:t>
      </w:r>
      <w:r>
        <w:rPr>
          <w:rFonts w:eastAsia="仿宋_GB2312"/>
          <w:color w:val="000000"/>
          <w:sz w:val="32"/>
          <w:szCs w:val="32"/>
        </w:rPr>
        <w:t>1.5</w:t>
      </w:r>
      <w:r>
        <w:rPr>
          <w:rFonts w:hint="eastAsia" w:eastAsia="仿宋_GB2312" w:cs="仿宋_GB2312"/>
          <w:color w:val="000000"/>
          <w:sz w:val="32"/>
          <w:szCs w:val="32"/>
        </w:rPr>
        <w:t>亿元以上；农业生产性服务专业公司年交易额</w:t>
      </w:r>
      <w:r>
        <w:rPr>
          <w:rFonts w:eastAsia="仿宋_GB2312"/>
          <w:color w:val="000000"/>
          <w:sz w:val="32"/>
          <w:szCs w:val="32"/>
        </w:rPr>
        <w:t>1500</w:t>
      </w:r>
      <w:r>
        <w:rPr>
          <w:rFonts w:hint="eastAsia" w:eastAsia="仿宋_GB2312" w:cs="仿宋_GB2312"/>
          <w:color w:val="000000"/>
          <w:sz w:val="32"/>
          <w:szCs w:val="32"/>
        </w:rPr>
        <w:t>万元以上。</w:t>
      </w:r>
    </w:p>
    <w:p>
      <w:pPr>
        <w:snapToGrid w:val="0"/>
        <w:spacing w:line="560" w:lineRule="exact"/>
        <w:ind w:firstLine="642" w:firstLineChars="200"/>
        <w:rPr>
          <w:rFonts w:eastAsia="仿宋_GB2312"/>
          <w:b/>
          <w:bCs/>
          <w:sz w:val="32"/>
          <w:szCs w:val="32"/>
        </w:rPr>
      </w:pPr>
      <w:r>
        <w:rPr>
          <w:rFonts w:hint="eastAsia" w:eastAsia="仿宋_GB2312" w:cs="仿宋_GB2312"/>
          <w:b/>
          <w:bCs/>
          <w:sz w:val="32"/>
          <w:szCs w:val="32"/>
        </w:rPr>
        <w:t>（四）企业效益。</w:t>
      </w:r>
      <w:r>
        <w:rPr>
          <w:rFonts w:hint="eastAsia" w:eastAsia="仿宋_GB2312" w:cs="仿宋_GB2312"/>
          <w:color w:val="000000"/>
          <w:sz w:val="32"/>
          <w:szCs w:val="32"/>
        </w:rPr>
        <w:t>企业的总资产报酬率应高于现行一年期银行贷款基准利率；企业诚信守法经营，应按时发放工资、按时缴纳社会保险、按月足额计提折旧，无重大涉税违法行为。</w:t>
      </w:r>
    </w:p>
    <w:p>
      <w:pPr>
        <w:snapToGrid w:val="0"/>
        <w:spacing w:line="560" w:lineRule="exact"/>
        <w:ind w:firstLine="642" w:firstLineChars="200"/>
        <w:rPr>
          <w:rFonts w:eastAsia="仿宋_GB2312"/>
          <w:b/>
          <w:bCs/>
          <w:color w:val="339966"/>
          <w:sz w:val="32"/>
          <w:szCs w:val="32"/>
        </w:rPr>
      </w:pPr>
      <w:r>
        <w:rPr>
          <w:rFonts w:hint="eastAsia" w:eastAsia="仿宋_GB2312" w:cs="仿宋_GB2312"/>
          <w:b/>
          <w:bCs/>
          <w:sz w:val="32"/>
          <w:szCs w:val="32"/>
        </w:rPr>
        <w:t>（五）企业产品竞争力。</w:t>
      </w:r>
      <w:r>
        <w:rPr>
          <w:rFonts w:hint="eastAsia" w:eastAsia="仿宋_GB2312" w:cs="仿宋_GB2312"/>
          <w:color w:val="000000"/>
          <w:sz w:val="32"/>
          <w:szCs w:val="32"/>
        </w:rPr>
        <w:t>产品符合国家产业政策、环保政策和质量管理标准体系；企业的产品质量有保障，具有一定的科技含量和品牌效益；近两年内没有发生产品质量安全事件。</w:t>
      </w:r>
    </w:p>
    <w:p>
      <w:pPr>
        <w:snapToGrid w:val="0"/>
        <w:spacing w:line="560" w:lineRule="exact"/>
        <w:ind w:firstLine="642" w:firstLineChars="200"/>
        <w:rPr>
          <w:rFonts w:eastAsia="仿宋_GB2312"/>
          <w:b/>
          <w:bCs/>
          <w:sz w:val="32"/>
          <w:szCs w:val="32"/>
        </w:rPr>
      </w:pPr>
      <w:r>
        <w:rPr>
          <w:rFonts w:hint="eastAsia" w:eastAsia="仿宋_GB2312" w:cs="仿宋_GB2312"/>
          <w:b/>
          <w:bCs/>
          <w:sz w:val="32"/>
          <w:szCs w:val="32"/>
        </w:rPr>
        <w:t>（六）企业负债与信用。</w:t>
      </w:r>
      <w:r>
        <w:rPr>
          <w:rFonts w:hint="eastAsia" w:eastAsia="仿宋_GB2312" w:cs="仿宋_GB2312"/>
          <w:color w:val="000000"/>
          <w:sz w:val="32"/>
          <w:szCs w:val="32"/>
        </w:rPr>
        <w:t>企业资产负债率原则上低于</w:t>
      </w:r>
      <w:r>
        <w:rPr>
          <w:rFonts w:eastAsia="仿宋_GB2312"/>
          <w:color w:val="000000"/>
          <w:sz w:val="32"/>
          <w:szCs w:val="32"/>
        </w:rPr>
        <w:t>60%</w:t>
      </w:r>
      <w:r>
        <w:rPr>
          <w:rFonts w:hint="eastAsia" w:eastAsia="仿宋_GB2312" w:cs="仿宋_GB2312"/>
          <w:color w:val="000000"/>
          <w:sz w:val="32"/>
          <w:szCs w:val="32"/>
        </w:rPr>
        <w:t>；近两年内不得有不良信用记录。</w:t>
      </w:r>
    </w:p>
    <w:p>
      <w:pPr>
        <w:snapToGrid w:val="0"/>
        <w:spacing w:line="560" w:lineRule="exact"/>
        <w:ind w:firstLine="642" w:firstLineChars="200"/>
        <w:rPr>
          <w:rFonts w:eastAsia="仿宋_GB2312"/>
          <w:sz w:val="32"/>
          <w:szCs w:val="32"/>
        </w:rPr>
      </w:pPr>
      <w:r>
        <w:rPr>
          <w:rFonts w:hint="eastAsia" w:eastAsia="仿宋_GB2312" w:cs="仿宋_GB2312"/>
          <w:b/>
          <w:bCs/>
          <w:sz w:val="32"/>
          <w:szCs w:val="32"/>
        </w:rPr>
        <w:t>（七）企业带动能力。</w:t>
      </w:r>
      <w:r>
        <w:rPr>
          <w:rFonts w:hint="eastAsia" w:eastAsia="仿宋_GB2312" w:cs="仿宋_GB2312"/>
          <w:color w:val="000000"/>
          <w:sz w:val="32"/>
          <w:szCs w:val="32"/>
        </w:rPr>
        <w:t>企业通过与农民专业合作经济组织、村集体经济组织、家庭农场、农村经纪人或农户签订经济合同，或以委托生产、订单农业、入股分红和利润返还等形式，与农户建立可靠、稳定的利益联结机制。原则上，粮棉油等大宗农产品生产加工流通企业，带动农户的数量应达到</w:t>
      </w:r>
      <w:r>
        <w:rPr>
          <w:rFonts w:eastAsia="仿宋_GB2312"/>
          <w:color w:val="000000"/>
          <w:sz w:val="32"/>
          <w:szCs w:val="32"/>
        </w:rPr>
        <w:t>800</w:t>
      </w:r>
      <w:r>
        <w:rPr>
          <w:rFonts w:hint="eastAsia" w:eastAsia="仿宋_GB2312" w:cs="仿宋_GB2312"/>
          <w:color w:val="000000"/>
          <w:sz w:val="32"/>
          <w:szCs w:val="32"/>
        </w:rPr>
        <w:t>户以上；</w:t>
      </w:r>
      <w:r>
        <w:rPr>
          <w:rFonts w:hint="eastAsia" w:eastAsia="仿宋_GB2312" w:cs="仿宋_GB2312"/>
          <w:sz w:val="32"/>
          <w:szCs w:val="32"/>
        </w:rPr>
        <w:t>畜禽类带动农户应达到</w:t>
      </w:r>
      <w:r>
        <w:rPr>
          <w:rFonts w:eastAsia="仿宋_GB2312"/>
          <w:sz w:val="32"/>
          <w:szCs w:val="32"/>
        </w:rPr>
        <w:t>300</w:t>
      </w:r>
      <w:r>
        <w:rPr>
          <w:rFonts w:hint="eastAsia" w:eastAsia="仿宋_GB2312" w:cs="仿宋_GB2312"/>
          <w:sz w:val="32"/>
          <w:szCs w:val="32"/>
        </w:rPr>
        <w:t>户以上；特色种植、养殖类、</w:t>
      </w:r>
      <w:r>
        <w:rPr>
          <w:rFonts w:hint="eastAsia" w:eastAsia="仿宋_GB2312" w:cs="仿宋_GB2312"/>
          <w:color w:val="000000"/>
          <w:sz w:val="32"/>
          <w:szCs w:val="32"/>
        </w:rPr>
        <w:t>休闲农业</w:t>
      </w:r>
      <w:r>
        <w:rPr>
          <w:rFonts w:hint="eastAsia" w:eastAsia="仿宋_GB2312" w:cs="仿宋_GB2312"/>
          <w:sz w:val="32"/>
          <w:szCs w:val="32"/>
        </w:rPr>
        <w:t>类等</w:t>
      </w:r>
      <w:r>
        <w:rPr>
          <w:rFonts w:hint="eastAsia" w:eastAsia="仿宋_GB2312" w:cs="仿宋_GB2312"/>
          <w:color w:val="000000"/>
          <w:sz w:val="32"/>
          <w:szCs w:val="32"/>
        </w:rPr>
        <w:t>带动农户的数量应达到</w:t>
      </w:r>
      <w:r>
        <w:rPr>
          <w:rFonts w:eastAsia="仿宋_GB2312"/>
          <w:color w:val="000000"/>
          <w:sz w:val="32"/>
          <w:szCs w:val="32"/>
        </w:rPr>
        <w:t>150</w:t>
      </w:r>
      <w:r>
        <w:rPr>
          <w:rFonts w:hint="eastAsia" w:eastAsia="仿宋_GB2312" w:cs="仿宋_GB2312"/>
          <w:color w:val="000000"/>
          <w:sz w:val="32"/>
          <w:szCs w:val="32"/>
        </w:rPr>
        <w:t>户以上。</w:t>
      </w:r>
      <w:r>
        <w:rPr>
          <w:rFonts w:hint="eastAsia" w:ascii="仿宋_GB2312" w:eastAsia="仿宋_GB2312" w:cs="仿宋_GB2312"/>
          <w:color w:val="000000"/>
          <w:sz w:val="32"/>
          <w:szCs w:val="32"/>
        </w:rPr>
        <w:t>企业通过订单、合同等方式采购的省内农产品占所需原料量或所销售货物量的</w:t>
      </w:r>
      <w:r>
        <w:rPr>
          <w:rFonts w:ascii="仿宋_GB2312" w:eastAsia="仿宋_GB2312" w:cs="仿宋_GB2312"/>
          <w:color w:val="000000"/>
          <w:sz w:val="32"/>
          <w:szCs w:val="32"/>
        </w:rPr>
        <w:t>70%</w:t>
      </w:r>
      <w:r>
        <w:rPr>
          <w:rFonts w:hint="eastAsia" w:ascii="仿宋_GB2312" w:eastAsia="仿宋_GB2312" w:cs="仿宋_GB2312"/>
          <w:color w:val="000000"/>
          <w:sz w:val="32"/>
          <w:szCs w:val="32"/>
        </w:rPr>
        <w:t>以上。</w:t>
      </w:r>
    </w:p>
    <w:p>
      <w:pPr>
        <w:snapToGrid w:val="0"/>
        <w:spacing w:line="560" w:lineRule="exact"/>
        <w:ind w:firstLine="640" w:firstLineChars="200"/>
        <w:rPr>
          <w:rFonts w:eastAsia="仿宋_GB2312"/>
          <w:color w:val="000000"/>
          <w:sz w:val="32"/>
          <w:szCs w:val="32"/>
        </w:rPr>
      </w:pPr>
      <w:r>
        <w:rPr>
          <w:rFonts w:hint="eastAsia" w:eastAsia="黑体" w:cs="黑体"/>
          <w:color w:val="000000"/>
          <w:sz w:val="32"/>
          <w:szCs w:val="32"/>
        </w:rPr>
        <w:t>第七条</w:t>
      </w:r>
      <w:r>
        <w:rPr>
          <w:rFonts w:eastAsia="仿宋_GB2312"/>
          <w:color w:val="000000"/>
          <w:sz w:val="32"/>
          <w:szCs w:val="32"/>
        </w:rPr>
        <w:t xml:space="preserve">  </w:t>
      </w:r>
      <w:r>
        <w:rPr>
          <w:rFonts w:hint="eastAsia" w:eastAsia="仿宋_GB2312" w:cs="仿宋_GB2312"/>
          <w:color w:val="000000"/>
          <w:sz w:val="32"/>
          <w:szCs w:val="32"/>
        </w:rPr>
        <w:t>高新技术企业、外向型企业以及低碳环保型企业，规模标准减按</w:t>
      </w:r>
      <w:r>
        <w:rPr>
          <w:rFonts w:eastAsia="仿宋_GB2312"/>
          <w:color w:val="000000"/>
          <w:sz w:val="32"/>
          <w:szCs w:val="32"/>
        </w:rPr>
        <w:t>80%</w:t>
      </w:r>
      <w:r>
        <w:rPr>
          <w:rFonts w:hint="eastAsia" w:eastAsia="仿宋_GB2312" w:cs="仿宋_GB2312"/>
          <w:color w:val="000000"/>
          <w:sz w:val="32"/>
          <w:szCs w:val="32"/>
        </w:rPr>
        <w:t>执行。</w:t>
      </w:r>
    </w:p>
    <w:p>
      <w:pPr>
        <w:spacing w:line="320" w:lineRule="exact"/>
        <w:ind w:firstLine="629"/>
        <w:jc w:val="center"/>
        <w:rPr>
          <w:rFonts w:eastAsia="黑体"/>
          <w:sz w:val="32"/>
          <w:szCs w:val="32"/>
        </w:rPr>
      </w:pPr>
    </w:p>
    <w:p>
      <w:pPr>
        <w:spacing w:line="560" w:lineRule="exact"/>
        <w:jc w:val="center"/>
        <w:rPr>
          <w:rFonts w:eastAsia="黑体"/>
          <w:sz w:val="32"/>
          <w:szCs w:val="32"/>
        </w:rPr>
      </w:pPr>
      <w:r>
        <w:rPr>
          <w:rFonts w:hint="eastAsia" w:eastAsia="黑体" w:cs="黑体"/>
          <w:sz w:val="32"/>
          <w:szCs w:val="32"/>
        </w:rPr>
        <w:t>第三章　申报程序</w:t>
      </w:r>
    </w:p>
    <w:p>
      <w:pPr>
        <w:spacing w:line="560" w:lineRule="exact"/>
        <w:ind w:firstLine="630"/>
        <w:rPr>
          <w:rFonts w:eastAsia="黑体"/>
          <w:color w:val="FF0000"/>
          <w:sz w:val="32"/>
          <w:szCs w:val="32"/>
        </w:rPr>
      </w:pPr>
      <w:r>
        <w:rPr>
          <w:rFonts w:hint="eastAsia" w:eastAsia="黑体" w:cs="黑体"/>
          <w:color w:val="000000"/>
          <w:sz w:val="32"/>
          <w:szCs w:val="32"/>
        </w:rPr>
        <w:t>第八条</w:t>
      </w:r>
      <w:r>
        <w:rPr>
          <w:rFonts w:eastAsia="仿宋_GB2312"/>
          <w:color w:val="000000"/>
          <w:sz w:val="32"/>
          <w:szCs w:val="32"/>
        </w:rPr>
        <w:t xml:space="preserve">  </w:t>
      </w:r>
      <w:r>
        <w:rPr>
          <w:rFonts w:hint="eastAsia" w:eastAsia="仿宋_GB2312" w:cs="仿宋_GB2312"/>
          <w:color w:val="000000"/>
          <w:sz w:val="32"/>
          <w:szCs w:val="32"/>
        </w:rPr>
        <w:t>市重点龙头企业申报程序：</w:t>
      </w:r>
    </w:p>
    <w:p>
      <w:pPr>
        <w:snapToGrid w:val="0"/>
        <w:spacing w:line="560" w:lineRule="exact"/>
        <w:ind w:firstLine="642" w:firstLineChars="200"/>
        <w:rPr>
          <w:rFonts w:eastAsia="仿宋_GB2312"/>
          <w:color w:val="000000"/>
          <w:sz w:val="32"/>
          <w:szCs w:val="32"/>
        </w:rPr>
      </w:pPr>
      <w:r>
        <w:rPr>
          <w:rFonts w:hint="eastAsia" w:eastAsia="仿宋_GB2312" w:cs="仿宋_GB2312"/>
          <w:b/>
          <w:bCs/>
          <w:color w:val="000000"/>
          <w:sz w:val="32"/>
          <w:szCs w:val="32"/>
        </w:rPr>
        <w:t>（一）企业申请。</w:t>
      </w:r>
      <w:r>
        <w:rPr>
          <w:rFonts w:hint="eastAsia" w:eastAsia="仿宋_GB2312" w:cs="仿宋_GB2312"/>
          <w:color w:val="000000"/>
          <w:sz w:val="32"/>
          <w:szCs w:val="32"/>
        </w:rPr>
        <w:t>申报企业向所在区县（市）农业农村部门提出申请，并按照申报通知要求填报相关材料。</w:t>
      </w:r>
    </w:p>
    <w:p>
      <w:pPr>
        <w:snapToGrid w:val="0"/>
        <w:spacing w:line="560" w:lineRule="exact"/>
        <w:ind w:firstLine="642" w:firstLineChars="200"/>
        <w:rPr>
          <w:rFonts w:eastAsia="仿宋_GB2312"/>
          <w:color w:val="000000"/>
          <w:sz w:val="32"/>
          <w:szCs w:val="32"/>
        </w:rPr>
      </w:pPr>
      <w:r>
        <w:rPr>
          <w:rFonts w:hint="eastAsia" w:eastAsia="仿宋_GB2312" w:cs="仿宋_GB2312"/>
          <w:b/>
          <w:bCs/>
          <w:color w:val="000000"/>
          <w:sz w:val="32"/>
          <w:szCs w:val="32"/>
        </w:rPr>
        <w:t>（二）县级审核。</w:t>
      </w:r>
      <w:r>
        <w:rPr>
          <w:rFonts w:hint="eastAsia" w:eastAsia="仿宋_GB2312" w:cs="仿宋_GB2312"/>
          <w:color w:val="000000"/>
          <w:sz w:val="32"/>
          <w:szCs w:val="32"/>
        </w:rPr>
        <w:t>区县（市）农业农村部门对企业申报材料真实性、完整性、规范性进行审核。</w:t>
      </w:r>
    </w:p>
    <w:p>
      <w:pPr>
        <w:snapToGrid w:val="0"/>
        <w:spacing w:line="560" w:lineRule="exact"/>
        <w:ind w:firstLine="642" w:firstLineChars="200"/>
        <w:rPr>
          <w:rFonts w:eastAsia="仿宋_GB2312"/>
          <w:color w:val="000000"/>
          <w:sz w:val="32"/>
          <w:szCs w:val="32"/>
        </w:rPr>
      </w:pPr>
      <w:r>
        <w:rPr>
          <w:rFonts w:hint="eastAsia" w:eastAsia="仿宋_GB2312" w:cs="仿宋_GB2312"/>
          <w:b/>
          <w:bCs/>
          <w:color w:val="000000"/>
          <w:sz w:val="32"/>
          <w:szCs w:val="32"/>
        </w:rPr>
        <w:t>（三）推荐上报。</w:t>
      </w:r>
      <w:r>
        <w:rPr>
          <w:rFonts w:hint="eastAsia" w:eastAsia="仿宋_GB2312" w:cs="仿宋_GB2312"/>
          <w:color w:val="000000"/>
          <w:sz w:val="32"/>
          <w:szCs w:val="32"/>
        </w:rPr>
        <w:t>区县（市）农业农村部门征求县级有关部门意见，并报请区县（市）政府同意后，以正式文件向市农委推荐候选企业名单。</w:t>
      </w:r>
    </w:p>
    <w:p>
      <w:pPr>
        <w:snapToGrid w:val="0"/>
        <w:spacing w:line="560" w:lineRule="exact"/>
        <w:ind w:firstLine="640" w:firstLineChars="200"/>
        <w:rPr>
          <w:rFonts w:eastAsia="仿宋_GB2312"/>
          <w:color w:val="000000"/>
          <w:sz w:val="32"/>
          <w:szCs w:val="32"/>
        </w:rPr>
      </w:pPr>
      <w:r>
        <w:rPr>
          <w:rFonts w:hint="eastAsia" w:eastAsia="黑体" w:cs="黑体"/>
          <w:color w:val="000000"/>
          <w:sz w:val="32"/>
          <w:szCs w:val="32"/>
        </w:rPr>
        <w:t>第九条</w:t>
      </w:r>
      <w:r>
        <w:rPr>
          <w:rFonts w:eastAsia="黑体"/>
          <w:color w:val="000000"/>
          <w:sz w:val="32"/>
          <w:szCs w:val="32"/>
        </w:rPr>
        <w:t xml:space="preserve">  </w:t>
      </w:r>
      <w:r>
        <w:rPr>
          <w:rFonts w:hint="eastAsia" w:eastAsia="仿宋_GB2312" w:cs="仿宋_GB2312"/>
          <w:color w:val="000000"/>
          <w:sz w:val="32"/>
          <w:szCs w:val="32"/>
        </w:rPr>
        <w:t>申报企业应提供以下基本材料：</w:t>
      </w:r>
    </w:p>
    <w:p>
      <w:pPr>
        <w:snapToGrid w:val="0"/>
        <w:spacing w:line="560" w:lineRule="exact"/>
        <w:ind w:firstLine="640" w:firstLineChars="200"/>
        <w:rPr>
          <w:rFonts w:eastAsia="仿宋_GB2312"/>
          <w:color w:val="000000"/>
          <w:sz w:val="32"/>
          <w:szCs w:val="32"/>
        </w:rPr>
      </w:pPr>
      <w:r>
        <w:rPr>
          <w:rFonts w:hint="eastAsia" w:hAnsi="仿宋_GB2312" w:eastAsia="仿宋_GB2312" w:cs="仿宋_GB2312"/>
          <w:color w:val="000000"/>
          <w:sz w:val="32"/>
          <w:szCs w:val="32"/>
        </w:rPr>
        <w:t>（一）介绍企业发展农业产业化情况的专题材料（包括企业基本情况、采取的产业化经营模式、与基地农户的利益联结方式、带动的基地和农户基本情况、促进农户增收情况等）。</w:t>
      </w:r>
    </w:p>
    <w:p>
      <w:pPr>
        <w:snapToGrid w:val="0"/>
        <w:spacing w:line="560" w:lineRule="exact"/>
        <w:ind w:firstLine="640" w:firstLineChars="200"/>
        <w:rPr>
          <w:rFonts w:eastAsia="方正小标宋简体"/>
          <w:sz w:val="44"/>
          <w:szCs w:val="44"/>
        </w:rPr>
      </w:pPr>
      <w:r>
        <w:rPr>
          <w:rFonts w:hint="eastAsia" w:hAnsi="仿宋_GB2312" w:eastAsia="仿宋_GB2312" w:cs="仿宋_GB2312"/>
          <w:color w:val="000000"/>
          <w:sz w:val="32"/>
          <w:szCs w:val="32"/>
        </w:rPr>
        <w:t>（二）企业经济运行情况表（加盖企业公章）。</w:t>
      </w:r>
    </w:p>
    <w:p>
      <w:pPr>
        <w:snapToGrid w:val="0"/>
        <w:spacing w:line="560" w:lineRule="exact"/>
        <w:ind w:firstLine="640" w:firstLineChars="200"/>
        <w:rPr>
          <w:rFonts w:eastAsia="仿宋_GB2312"/>
          <w:color w:val="000000"/>
          <w:sz w:val="32"/>
          <w:szCs w:val="32"/>
        </w:rPr>
      </w:pPr>
      <w:r>
        <w:rPr>
          <w:rFonts w:hint="eastAsia" w:hAnsi="仿宋_GB2312" w:eastAsia="仿宋_GB2312" w:cs="仿宋_GB2312"/>
          <w:color w:val="000000"/>
          <w:sz w:val="32"/>
          <w:szCs w:val="32"/>
        </w:rPr>
        <w:t>（三）企业营业执照复印件（加盖企业公章）。</w:t>
      </w:r>
    </w:p>
    <w:p>
      <w:pPr>
        <w:snapToGrid w:val="0"/>
        <w:spacing w:line="560" w:lineRule="exact"/>
        <w:ind w:firstLine="640" w:firstLineChars="200"/>
        <w:rPr>
          <w:rFonts w:eastAsia="仿宋_GB2312"/>
          <w:color w:val="000000"/>
          <w:sz w:val="32"/>
          <w:szCs w:val="32"/>
        </w:rPr>
      </w:pPr>
      <w:r>
        <w:rPr>
          <w:rFonts w:hint="eastAsia" w:hAnsi="仿宋_GB2312" w:eastAsia="仿宋_GB2312" w:cs="仿宋_GB2312"/>
          <w:color w:val="000000"/>
          <w:sz w:val="32"/>
          <w:szCs w:val="32"/>
        </w:rPr>
        <w:t>（四）人民银行出具的企业信用报告。</w:t>
      </w:r>
    </w:p>
    <w:p>
      <w:pPr>
        <w:snapToGrid w:val="0"/>
        <w:spacing w:line="560" w:lineRule="exact"/>
        <w:ind w:firstLine="640" w:firstLineChars="200"/>
        <w:rPr>
          <w:rFonts w:hint="eastAsia" w:hAnsi="仿宋_GB2312" w:eastAsia="仿宋_GB2312" w:cs="仿宋_GB2312"/>
          <w:color w:val="000000"/>
          <w:sz w:val="32"/>
          <w:szCs w:val="32"/>
        </w:rPr>
      </w:pPr>
      <w:r>
        <w:rPr>
          <w:rFonts w:hint="eastAsia" w:hAnsi="仿宋_GB2312" w:eastAsia="仿宋_GB2312" w:cs="仿宋_GB2312"/>
          <w:color w:val="000000"/>
          <w:sz w:val="32"/>
          <w:szCs w:val="32"/>
        </w:rPr>
        <w:t>（五）有资质的会计师事务所出具的近两年的资产负债表、损益表、现金流量表及报表附注等。</w:t>
      </w:r>
    </w:p>
    <w:p>
      <w:pPr>
        <w:snapToGrid w:val="0"/>
        <w:spacing w:line="560" w:lineRule="exact"/>
        <w:ind w:firstLine="640" w:firstLineChars="200"/>
        <w:rPr>
          <w:rFonts w:ascii="仿宋_GB2312" w:hAnsi="仿宋_GB2312" w:eastAsia="仿宋_GB2312"/>
          <w:color w:val="000000"/>
          <w:sz w:val="32"/>
          <w:szCs w:val="32"/>
        </w:rPr>
      </w:pPr>
      <w:r>
        <w:rPr>
          <w:rFonts w:hint="eastAsia" w:hAnsi="仿宋_GB2312" w:eastAsia="仿宋_GB2312" w:cs="仿宋_GB2312"/>
          <w:color w:val="000000"/>
          <w:sz w:val="32"/>
          <w:szCs w:val="32"/>
        </w:rPr>
        <w:t>（六）企业的带动能力、带动方式和利益联结关系情况须由县以上农业农村部门提供说明，</w:t>
      </w:r>
      <w:r>
        <w:rPr>
          <w:rFonts w:hint="eastAsia" w:ascii="仿宋_GB2312" w:hAnsi="仿宋_GB2312" w:eastAsia="仿宋_GB2312" w:cs="仿宋_GB2312"/>
          <w:color w:val="000000"/>
          <w:sz w:val="32"/>
          <w:szCs w:val="32"/>
        </w:rPr>
        <w:t>应将企业带动农户情况进行公示，接受社会监督。</w:t>
      </w:r>
    </w:p>
    <w:p>
      <w:pPr>
        <w:snapToGrid w:val="0"/>
        <w:spacing w:line="560" w:lineRule="exact"/>
        <w:ind w:firstLine="640" w:firstLineChars="200"/>
        <w:rPr>
          <w:rFonts w:eastAsia="仿宋_GB2312"/>
          <w:color w:val="000000"/>
          <w:sz w:val="32"/>
          <w:szCs w:val="32"/>
        </w:rPr>
      </w:pPr>
      <w:r>
        <w:rPr>
          <w:rFonts w:hint="eastAsia" w:hAnsi="仿宋_GB2312" w:eastAsia="仿宋_GB2312" w:cs="仿宋_GB2312"/>
          <w:color w:val="000000"/>
          <w:sz w:val="32"/>
          <w:szCs w:val="32"/>
        </w:rPr>
        <w:t>（七）企业的纳税情况须由企业所在地税务部门出具企业近两年内纳税情况证明。</w:t>
      </w:r>
    </w:p>
    <w:p>
      <w:pPr>
        <w:snapToGrid w:val="0"/>
        <w:spacing w:line="560" w:lineRule="exact"/>
        <w:ind w:firstLine="640" w:firstLineChars="200"/>
        <w:rPr>
          <w:rFonts w:eastAsia="仿宋_GB2312"/>
          <w:color w:val="000000"/>
          <w:sz w:val="32"/>
          <w:szCs w:val="32"/>
        </w:rPr>
      </w:pPr>
      <w:r>
        <w:rPr>
          <w:rFonts w:hint="eastAsia" w:hAnsi="仿宋_GB2312" w:eastAsia="仿宋_GB2312" w:cs="仿宋_GB2312"/>
          <w:color w:val="000000"/>
          <w:sz w:val="32"/>
          <w:szCs w:val="32"/>
        </w:rPr>
        <w:t>（八）县级以上</w:t>
      </w:r>
      <w:r>
        <w:rPr>
          <w:rFonts w:hint="eastAsia" w:hAnsi="仿宋_GB2312" w:eastAsia="仿宋_GB2312" w:cs="仿宋_GB2312"/>
          <w:sz w:val="32"/>
          <w:szCs w:val="32"/>
        </w:rPr>
        <w:t>农业农村或</w:t>
      </w:r>
      <w:r>
        <w:rPr>
          <w:rFonts w:hint="eastAsia" w:hAnsi="仿宋_GB2312" w:eastAsia="仿宋_GB2312" w:cs="仿宋_GB2312"/>
          <w:color w:val="000000"/>
          <w:sz w:val="32"/>
          <w:szCs w:val="32"/>
        </w:rPr>
        <w:t>其他法定监管部门出具的近两年内没有发生产品质量安全事件的证明。</w:t>
      </w:r>
    </w:p>
    <w:p>
      <w:pPr>
        <w:snapToGrid w:val="0"/>
        <w:spacing w:line="560" w:lineRule="exact"/>
        <w:ind w:firstLine="640" w:firstLineChars="200"/>
        <w:rPr>
          <w:rFonts w:hint="eastAsia" w:hAnsi="仿宋_GB2312" w:eastAsia="仿宋_GB2312" w:cs="仿宋_GB2312"/>
          <w:color w:val="000000"/>
          <w:sz w:val="32"/>
          <w:szCs w:val="32"/>
        </w:rPr>
      </w:pPr>
      <w:r>
        <w:rPr>
          <w:rFonts w:hint="eastAsia" w:hAnsi="仿宋_GB2312" w:eastAsia="仿宋_GB2312" w:cs="仿宋_GB2312"/>
          <w:color w:val="000000"/>
          <w:sz w:val="32"/>
          <w:szCs w:val="32"/>
        </w:rPr>
        <w:t>（九）产品质量、环保、科技成果、商标、专利、出口等方面的证明材料，可根据企业实际情况据实出具。</w:t>
      </w:r>
    </w:p>
    <w:p>
      <w:pPr>
        <w:keepNext w:val="0"/>
        <w:keepLines w:val="0"/>
        <w:pageBreakBefore w:val="0"/>
        <w:widowControl w:val="0"/>
        <w:kinsoku/>
        <w:wordWrap/>
        <w:overflowPunct/>
        <w:topLinePunct w:val="0"/>
        <w:autoSpaceDE/>
        <w:autoSpaceDN/>
        <w:bidi w:val="0"/>
        <w:adjustRightInd/>
        <w:snapToGrid w:val="0"/>
        <w:spacing w:line="320" w:lineRule="exact"/>
        <w:ind w:firstLine="640" w:firstLineChars="200"/>
        <w:textAlignment w:val="auto"/>
        <w:rPr>
          <w:rFonts w:hint="eastAsia" w:hAnsi="仿宋_GB2312" w:eastAsia="仿宋_GB2312" w:cs="仿宋_GB2312"/>
          <w:color w:val="000000"/>
          <w:sz w:val="32"/>
          <w:szCs w:val="32"/>
        </w:rPr>
      </w:pPr>
      <w:bookmarkStart w:id="0" w:name="_GoBack"/>
      <w:bookmarkEnd w:id="0"/>
    </w:p>
    <w:p>
      <w:pPr>
        <w:snapToGrid w:val="0"/>
        <w:spacing w:line="560" w:lineRule="exact"/>
        <w:jc w:val="center"/>
        <w:rPr>
          <w:rFonts w:eastAsia="黑体"/>
          <w:sz w:val="32"/>
          <w:szCs w:val="32"/>
        </w:rPr>
      </w:pPr>
      <w:r>
        <w:rPr>
          <w:rFonts w:hint="eastAsia" w:eastAsia="黑体" w:cs="黑体"/>
          <w:sz w:val="32"/>
          <w:szCs w:val="32"/>
        </w:rPr>
        <w:t>第四章</w:t>
      </w:r>
      <w:r>
        <w:rPr>
          <w:rFonts w:eastAsia="黑体"/>
          <w:sz w:val="32"/>
          <w:szCs w:val="32"/>
        </w:rPr>
        <w:t xml:space="preserve">  </w:t>
      </w:r>
      <w:r>
        <w:rPr>
          <w:rFonts w:hint="eastAsia" w:eastAsia="黑体" w:cs="黑体"/>
          <w:sz w:val="32"/>
          <w:szCs w:val="32"/>
        </w:rPr>
        <w:t>认定办法</w:t>
      </w:r>
    </w:p>
    <w:p>
      <w:pPr>
        <w:spacing w:line="560" w:lineRule="exact"/>
        <w:ind w:firstLine="630"/>
        <w:rPr>
          <w:rFonts w:eastAsia="黑体"/>
          <w:color w:val="FF0000"/>
          <w:sz w:val="32"/>
          <w:szCs w:val="32"/>
        </w:rPr>
      </w:pPr>
      <w:r>
        <w:rPr>
          <w:rFonts w:hint="eastAsia" w:eastAsia="黑体" w:cs="黑体"/>
          <w:color w:val="000000"/>
          <w:sz w:val="32"/>
          <w:szCs w:val="32"/>
        </w:rPr>
        <w:t>第十条</w:t>
      </w:r>
      <w:r>
        <w:rPr>
          <w:rFonts w:eastAsia="仿宋_GB2312"/>
          <w:color w:val="000000"/>
          <w:sz w:val="32"/>
          <w:szCs w:val="32"/>
        </w:rPr>
        <w:t xml:space="preserve">  </w:t>
      </w:r>
      <w:r>
        <w:rPr>
          <w:rFonts w:hint="eastAsia" w:ascii="仿宋_GB2312" w:eastAsia="仿宋_GB2312" w:cs="仿宋_GB2312"/>
          <w:color w:val="000000"/>
          <w:sz w:val="32"/>
          <w:szCs w:val="32"/>
        </w:rPr>
        <w:t>市重点龙头企业认定工作采用评审制，原则上每两年开展一次。在市重点龙头企业认定期间，</w:t>
      </w:r>
      <w:r>
        <w:rPr>
          <w:rFonts w:hint="eastAsia" w:eastAsia="仿宋_GB2312" w:cs="仿宋_GB2312"/>
          <w:sz w:val="32"/>
          <w:szCs w:val="32"/>
        </w:rPr>
        <w:t>由市农委牵头成立评审组，负责对各</w:t>
      </w:r>
      <w:r>
        <w:rPr>
          <w:rFonts w:hint="eastAsia" w:eastAsia="仿宋_GB2312" w:cs="仿宋_GB2312"/>
          <w:color w:val="000000"/>
          <w:sz w:val="32"/>
          <w:szCs w:val="32"/>
        </w:rPr>
        <w:t>区县（市）</w:t>
      </w:r>
      <w:r>
        <w:rPr>
          <w:rFonts w:hint="eastAsia" w:eastAsia="仿宋_GB2312" w:cs="仿宋_GB2312"/>
          <w:sz w:val="32"/>
          <w:szCs w:val="32"/>
        </w:rPr>
        <w:t>推荐的企业进行评审。</w:t>
      </w:r>
    </w:p>
    <w:p>
      <w:pPr>
        <w:snapToGrid w:val="0"/>
        <w:spacing w:line="560" w:lineRule="exact"/>
        <w:ind w:firstLine="640" w:firstLineChars="200"/>
        <w:rPr>
          <w:rFonts w:eastAsia="黑体"/>
          <w:color w:val="000000"/>
          <w:sz w:val="32"/>
          <w:szCs w:val="32"/>
        </w:rPr>
      </w:pPr>
      <w:r>
        <w:rPr>
          <w:rFonts w:hint="eastAsia" w:eastAsia="黑体" w:cs="黑体"/>
          <w:color w:val="000000"/>
          <w:sz w:val="32"/>
          <w:szCs w:val="32"/>
        </w:rPr>
        <w:t>第十一条</w:t>
      </w:r>
      <w:r>
        <w:rPr>
          <w:rFonts w:eastAsia="黑体"/>
          <w:color w:val="000000"/>
          <w:sz w:val="32"/>
          <w:szCs w:val="32"/>
        </w:rPr>
        <w:t xml:space="preserve">  </w:t>
      </w:r>
      <w:r>
        <w:rPr>
          <w:rFonts w:hint="eastAsia" w:eastAsia="仿宋_GB2312" w:cs="仿宋_GB2312"/>
          <w:color w:val="000000"/>
          <w:sz w:val="32"/>
          <w:szCs w:val="32"/>
        </w:rPr>
        <w:t>市级龙头企业认定程序：</w:t>
      </w:r>
    </w:p>
    <w:p>
      <w:pPr>
        <w:snapToGrid w:val="0"/>
        <w:spacing w:line="560" w:lineRule="exact"/>
        <w:ind w:firstLine="642" w:firstLineChars="200"/>
        <w:rPr>
          <w:rFonts w:eastAsia="仿宋_GB2312"/>
          <w:color w:val="000000"/>
          <w:sz w:val="36"/>
          <w:szCs w:val="36"/>
        </w:rPr>
      </w:pPr>
      <w:r>
        <w:rPr>
          <w:rFonts w:hint="eastAsia" w:eastAsia="仿宋_GB2312" w:cs="仿宋_GB2312"/>
          <w:b/>
          <w:bCs/>
          <w:color w:val="000000"/>
          <w:sz w:val="32"/>
          <w:szCs w:val="32"/>
        </w:rPr>
        <w:t>（一）材料初审。</w:t>
      </w:r>
      <w:r>
        <w:rPr>
          <w:rFonts w:hint="eastAsia" w:eastAsia="仿宋_GB2312" w:cs="仿宋_GB2312"/>
          <w:color w:val="000000"/>
          <w:sz w:val="32"/>
          <w:szCs w:val="32"/>
        </w:rPr>
        <w:t>市农委对企业申报材料进行</w:t>
      </w:r>
      <w:r>
        <w:rPr>
          <w:rFonts w:hint="eastAsia" w:ascii="仿宋_GB2312" w:eastAsia="仿宋_GB2312" w:cs="仿宋_GB2312"/>
          <w:color w:val="000000"/>
          <w:sz w:val="32"/>
          <w:szCs w:val="32"/>
        </w:rPr>
        <w:t>符合性审核</w:t>
      </w:r>
      <w:r>
        <w:rPr>
          <w:rFonts w:hint="eastAsia" w:eastAsia="仿宋_GB2312" w:cs="仿宋_GB2312"/>
          <w:color w:val="000000"/>
          <w:sz w:val="32"/>
          <w:szCs w:val="32"/>
        </w:rPr>
        <w:t>，提出初步意见。</w:t>
      </w:r>
    </w:p>
    <w:p>
      <w:pPr>
        <w:snapToGrid w:val="0"/>
        <w:spacing w:line="560" w:lineRule="exact"/>
        <w:ind w:firstLine="642" w:firstLineChars="200"/>
        <w:rPr>
          <w:rFonts w:eastAsia="仿宋_GB2312"/>
          <w:color w:val="000000"/>
          <w:sz w:val="32"/>
          <w:szCs w:val="32"/>
          <w:u w:val="single"/>
        </w:rPr>
      </w:pPr>
      <w:r>
        <w:rPr>
          <w:rFonts w:hint="eastAsia" w:eastAsia="仿宋_GB2312" w:cs="仿宋_GB2312"/>
          <w:b/>
          <w:bCs/>
          <w:color w:val="000000"/>
          <w:sz w:val="32"/>
          <w:szCs w:val="32"/>
        </w:rPr>
        <w:t>（二）考核评审。</w:t>
      </w:r>
      <w:r>
        <w:rPr>
          <w:rFonts w:hint="eastAsia" w:eastAsia="仿宋_GB2312" w:cs="仿宋_GB2312"/>
          <w:color w:val="000000"/>
          <w:sz w:val="32"/>
          <w:szCs w:val="32"/>
        </w:rPr>
        <w:t>市农委组织评审组，对申报企业进行材料复审和实地核验，形成评审意见。</w:t>
      </w:r>
    </w:p>
    <w:p>
      <w:pPr>
        <w:snapToGrid w:val="0"/>
        <w:spacing w:line="560" w:lineRule="exact"/>
        <w:ind w:firstLine="642" w:firstLineChars="200"/>
        <w:rPr>
          <w:rFonts w:eastAsia="仿宋_GB2312"/>
          <w:color w:val="000000"/>
          <w:sz w:val="32"/>
          <w:szCs w:val="32"/>
        </w:rPr>
      </w:pPr>
      <w:r>
        <w:rPr>
          <w:rFonts w:hint="eastAsia" w:eastAsia="仿宋_GB2312" w:cs="仿宋_GB2312"/>
          <w:b/>
          <w:bCs/>
          <w:color w:val="000000"/>
          <w:sz w:val="32"/>
          <w:szCs w:val="32"/>
        </w:rPr>
        <w:t>（三）征求意见。</w:t>
      </w:r>
      <w:r>
        <w:rPr>
          <w:rFonts w:hint="eastAsia" w:eastAsia="仿宋_GB2312" w:cs="仿宋_GB2312"/>
          <w:color w:val="000000"/>
          <w:sz w:val="32"/>
          <w:szCs w:val="32"/>
        </w:rPr>
        <w:t>市农委根据评审意见，提出候选名单，征求市农业产业化联席会议成员单位意见。</w:t>
      </w:r>
    </w:p>
    <w:p>
      <w:pPr>
        <w:snapToGrid w:val="0"/>
        <w:spacing w:line="560" w:lineRule="exact"/>
        <w:ind w:firstLine="642" w:firstLineChars="200"/>
        <w:rPr>
          <w:rFonts w:eastAsia="仿宋_GB2312"/>
          <w:color w:val="000000"/>
          <w:sz w:val="32"/>
          <w:szCs w:val="32"/>
        </w:rPr>
      </w:pPr>
      <w:r>
        <w:rPr>
          <w:rFonts w:hint="eastAsia" w:eastAsia="仿宋_GB2312" w:cs="仿宋_GB2312"/>
          <w:b/>
          <w:bCs/>
          <w:color w:val="000000"/>
          <w:sz w:val="32"/>
          <w:szCs w:val="32"/>
        </w:rPr>
        <w:t>（四）发文公布。</w:t>
      </w:r>
      <w:r>
        <w:rPr>
          <w:rFonts w:hint="eastAsia" w:eastAsia="仿宋_GB2312" w:cs="仿宋_GB2312"/>
          <w:color w:val="000000"/>
          <w:sz w:val="32"/>
          <w:szCs w:val="32"/>
        </w:rPr>
        <w:t>拟认定企业名单经公示无异议，报市农业产业化经营领导小组同意后发文公布。</w:t>
      </w:r>
    </w:p>
    <w:p>
      <w:pPr>
        <w:snapToGrid w:val="0"/>
        <w:spacing w:line="560" w:lineRule="exact"/>
        <w:ind w:firstLine="640" w:firstLineChars="200"/>
        <w:rPr>
          <w:rFonts w:eastAsia="仿宋_GB2312"/>
          <w:color w:val="000000"/>
          <w:sz w:val="32"/>
          <w:szCs w:val="32"/>
        </w:rPr>
      </w:pPr>
      <w:r>
        <w:rPr>
          <w:rFonts w:hint="eastAsia" w:eastAsia="黑体" w:cs="黑体"/>
          <w:color w:val="000000"/>
          <w:sz w:val="32"/>
          <w:szCs w:val="32"/>
        </w:rPr>
        <w:t>第十二条</w:t>
      </w:r>
      <w:r>
        <w:rPr>
          <w:rFonts w:eastAsia="黑体"/>
          <w:color w:val="000000"/>
          <w:sz w:val="32"/>
          <w:szCs w:val="32"/>
        </w:rPr>
        <w:t xml:space="preserve">  </w:t>
      </w:r>
      <w:r>
        <w:rPr>
          <w:rFonts w:hint="eastAsia" w:eastAsia="仿宋_GB2312" w:cs="仿宋_GB2312"/>
          <w:color w:val="000000"/>
          <w:sz w:val="32"/>
          <w:szCs w:val="32"/>
        </w:rPr>
        <w:t>经认定公布的</w:t>
      </w:r>
      <w:r>
        <w:rPr>
          <w:rFonts w:hint="eastAsia" w:ascii="仿宋_GB2312" w:eastAsia="仿宋_GB2312" w:cs="仿宋_GB2312"/>
          <w:color w:val="000000"/>
          <w:sz w:val="32"/>
          <w:szCs w:val="32"/>
        </w:rPr>
        <w:t>市重点龙头企业</w:t>
      </w:r>
      <w:r>
        <w:rPr>
          <w:rFonts w:hint="eastAsia" w:eastAsia="仿宋_GB2312" w:cs="仿宋_GB2312"/>
          <w:color w:val="000000"/>
          <w:sz w:val="32"/>
          <w:szCs w:val="32"/>
        </w:rPr>
        <w:t>，享受有关优惠政策。</w:t>
      </w:r>
      <w:r>
        <w:rPr>
          <w:rFonts w:hint="eastAsia" w:ascii="仿宋_GB2312" w:eastAsia="仿宋_GB2312" w:cs="仿宋_GB2312"/>
          <w:color w:val="000000"/>
          <w:sz w:val="32"/>
          <w:szCs w:val="32"/>
        </w:rPr>
        <w:t>市重点龙头企业</w:t>
      </w:r>
      <w:r>
        <w:rPr>
          <w:rFonts w:hint="eastAsia" w:eastAsia="仿宋_GB2312" w:cs="仿宋_GB2312"/>
          <w:color w:val="000000"/>
          <w:sz w:val="32"/>
          <w:szCs w:val="32"/>
        </w:rPr>
        <w:t>所属的控股子公司，其直接控股比例超过</w:t>
      </w:r>
      <w:r>
        <w:rPr>
          <w:rFonts w:eastAsia="仿宋_GB2312"/>
          <w:color w:val="000000"/>
          <w:sz w:val="32"/>
          <w:szCs w:val="32"/>
        </w:rPr>
        <w:t>50%</w:t>
      </w:r>
      <w:r>
        <w:rPr>
          <w:rFonts w:hint="eastAsia" w:eastAsia="仿宋_GB2312" w:cs="仿宋_GB2312"/>
          <w:color w:val="000000"/>
          <w:sz w:val="32"/>
          <w:szCs w:val="32"/>
        </w:rPr>
        <w:t>（不含</w:t>
      </w:r>
      <w:r>
        <w:rPr>
          <w:rFonts w:eastAsia="仿宋_GB2312"/>
          <w:color w:val="000000"/>
          <w:sz w:val="32"/>
          <w:szCs w:val="32"/>
        </w:rPr>
        <w:t>50%</w:t>
      </w:r>
      <w:r>
        <w:rPr>
          <w:rFonts w:hint="eastAsia" w:eastAsia="仿宋_GB2312" w:cs="仿宋_GB2312"/>
          <w:color w:val="000000"/>
          <w:sz w:val="32"/>
          <w:szCs w:val="32"/>
        </w:rPr>
        <w:t>）的，且控股子公司以农产品生产、加工或流通为主业，可享受</w:t>
      </w:r>
      <w:r>
        <w:rPr>
          <w:rFonts w:hint="eastAsia" w:ascii="仿宋_GB2312" w:eastAsia="仿宋_GB2312" w:cs="仿宋_GB2312"/>
          <w:color w:val="000000"/>
          <w:sz w:val="32"/>
          <w:szCs w:val="32"/>
        </w:rPr>
        <w:t>市重点龙头企业</w:t>
      </w:r>
      <w:r>
        <w:rPr>
          <w:rFonts w:hint="eastAsia" w:eastAsia="仿宋_GB2312" w:cs="仿宋_GB2312"/>
          <w:color w:val="000000"/>
          <w:sz w:val="32"/>
          <w:szCs w:val="32"/>
        </w:rPr>
        <w:t>的有关优惠政策。</w:t>
      </w:r>
    </w:p>
    <w:p>
      <w:pPr>
        <w:snapToGrid w:val="0"/>
        <w:spacing w:line="320" w:lineRule="exact"/>
        <w:ind w:firstLine="640" w:firstLineChars="200"/>
        <w:rPr>
          <w:rFonts w:eastAsia="仿宋_GB2312"/>
          <w:color w:val="000000"/>
          <w:sz w:val="32"/>
          <w:szCs w:val="32"/>
        </w:rPr>
      </w:pPr>
    </w:p>
    <w:p>
      <w:pPr>
        <w:snapToGrid w:val="0"/>
        <w:spacing w:line="560" w:lineRule="exact"/>
        <w:jc w:val="center"/>
        <w:rPr>
          <w:rFonts w:eastAsia="黑体"/>
          <w:color w:val="000000"/>
          <w:sz w:val="32"/>
          <w:szCs w:val="32"/>
        </w:rPr>
      </w:pPr>
      <w:r>
        <w:rPr>
          <w:rFonts w:hint="eastAsia" w:eastAsia="黑体" w:cs="黑体"/>
          <w:color w:val="000000"/>
          <w:sz w:val="32"/>
          <w:szCs w:val="32"/>
        </w:rPr>
        <w:t>第五章</w:t>
      </w:r>
      <w:r>
        <w:rPr>
          <w:rFonts w:eastAsia="黑体"/>
          <w:color w:val="000000"/>
          <w:sz w:val="32"/>
          <w:szCs w:val="32"/>
        </w:rPr>
        <w:t xml:space="preserve">  </w:t>
      </w:r>
      <w:r>
        <w:rPr>
          <w:rFonts w:hint="eastAsia" w:eastAsia="黑体" w:cs="黑体"/>
          <w:color w:val="000000"/>
          <w:sz w:val="32"/>
          <w:szCs w:val="32"/>
        </w:rPr>
        <w:t>运行监测</w:t>
      </w:r>
    </w:p>
    <w:p>
      <w:pPr>
        <w:snapToGrid w:val="0"/>
        <w:spacing w:line="560" w:lineRule="exact"/>
        <w:ind w:firstLine="640" w:firstLineChars="200"/>
        <w:jc w:val="left"/>
        <w:rPr>
          <w:rFonts w:ascii="仿宋_GB2312" w:hAnsi="宋体" w:eastAsia="仿宋_GB2312"/>
          <w:color w:val="000000"/>
          <w:sz w:val="32"/>
          <w:szCs w:val="32"/>
        </w:rPr>
      </w:pPr>
      <w:r>
        <w:rPr>
          <w:rFonts w:hint="eastAsia" w:eastAsia="黑体" w:cs="黑体"/>
          <w:color w:val="000000"/>
          <w:sz w:val="32"/>
          <w:szCs w:val="32"/>
        </w:rPr>
        <w:t>第十三条</w:t>
      </w:r>
      <w:r>
        <w:rPr>
          <w:rFonts w:eastAsia="黑体"/>
          <w:color w:val="000000"/>
          <w:sz w:val="32"/>
          <w:szCs w:val="32"/>
        </w:rPr>
        <w:t xml:space="preserve">  </w:t>
      </w:r>
      <w:r>
        <w:rPr>
          <w:rFonts w:hint="eastAsia" w:ascii="仿宋_GB2312" w:eastAsia="仿宋_GB2312" w:cs="仿宋_GB2312"/>
          <w:color w:val="000000"/>
          <w:sz w:val="32"/>
          <w:szCs w:val="32"/>
        </w:rPr>
        <w:t>市重点龙头企业</w:t>
      </w:r>
      <w:r>
        <w:rPr>
          <w:rFonts w:hint="eastAsia" w:eastAsia="仿宋_GB2312" w:cs="仿宋_GB2312"/>
          <w:color w:val="000000"/>
          <w:sz w:val="32"/>
          <w:szCs w:val="32"/>
        </w:rPr>
        <w:t>实行动态管理，建立竞争淘汰机制，做到有出有进。</w:t>
      </w:r>
      <w:r>
        <w:rPr>
          <w:rFonts w:hint="eastAsia" w:ascii="仿宋_GB2312" w:eastAsia="仿宋_GB2312" w:cs="仿宋_GB2312"/>
          <w:color w:val="000000"/>
          <w:sz w:val="32"/>
          <w:szCs w:val="32"/>
        </w:rPr>
        <w:t>原则上</w:t>
      </w:r>
      <w:r>
        <w:rPr>
          <w:rFonts w:hint="eastAsia" w:ascii="仿宋_GB2312" w:hAnsi="宋体" w:eastAsia="仿宋_GB2312" w:cs="仿宋_GB2312"/>
          <w:color w:val="000000"/>
          <w:sz w:val="32"/>
          <w:szCs w:val="32"/>
        </w:rPr>
        <w:t>每两年开展一次运行监测。</w:t>
      </w:r>
    </w:p>
    <w:p>
      <w:pPr>
        <w:spacing w:line="560" w:lineRule="exact"/>
        <w:ind w:firstLine="640" w:firstLineChars="200"/>
        <w:rPr>
          <w:rFonts w:eastAsia="仿宋_GB2312"/>
          <w:color w:val="000000"/>
          <w:sz w:val="32"/>
          <w:szCs w:val="32"/>
        </w:rPr>
      </w:pPr>
      <w:r>
        <w:rPr>
          <w:rFonts w:hint="eastAsia" w:eastAsia="黑体" w:cs="黑体"/>
          <w:color w:val="000000"/>
          <w:sz w:val="32"/>
          <w:szCs w:val="32"/>
        </w:rPr>
        <w:t>第十四条</w:t>
      </w:r>
      <w:r>
        <w:rPr>
          <w:rFonts w:eastAsia="黑体"/>
          <w:color w:val="000000"/>
          <w:sz w:val="32"/>
          <w:szCs w:val="32"/>
        </w:rPr>
        <w:t xml:space="preserve"> </w:t>
      </w:r>
      <w:r>
        <w:rPr>
          <w:sz w:val="32"/>
          <w:szCs w:val="32"/>
        </w:rPr>
        <w:t xml:space="preserve"> </w:t>
      </w:r>
      <w:r>
        <w:rPr>
          <w:rFonts w:hint="eastAsia" w:eastAsia="仿宋_GB2312" w:cs="仿宋_GB2312"/>
          <w:color w:val="000000"/>
          <w:sz w:val="32"/>
          <w:szCs w:val="32"/>
        </w:rPr>
        <w:t>市农业产业化联席会议加强对</w:t>
      </w:r>
      <w:r>
        <w:rPr>
          <w:rFonts w:hint="eastAsia" w:ascii="仿宋_GB2312" w:eastAsia="仿宋_GB2312" w:cs="仿宋_GB2312"/>
          <w:color w:val="000000"/>
          <w:sz w:val="32"/>
          <w:szCs w:val="32"/>
        </w:rPr>
        <w:t>市重点龙头企业</w:t>
      </w:r>
      <w:r>
        <w:rPr>
          <w:rFonts w:hint="eastAsia" w:eastAsia="仿宋_GB2312" w:cs="仿宋_GB2312"/>
          <w:color w:val="000000"/>
          <w:sz w:val="32"/>
          <w:szCs w:val="32"/>
        </w:rPr>
        <w:t>经济运行情况的跟踪调查，采取定期统计、情况调度、实地考察、随机抽查、重点督查等方式，及时了解企业基地建设、生产加工、市场销售、带农增收、质量安全等方面情况，帮助</w:t>
      </w:r>
      <w:r>
        <w:rPr>
          <w:rFonts w:hint="eastAsia" w:ascii="仿宋_GB2312" w:eastAsia="仿宋_GB2312" w:cs="仿宋_GB2312"/>
          <w:color w:val="000000"/>
          <w:sz w:val="32"/>
          <w:szCs w:val="32"/>
        </w:rPr>
        <w:t>市重点龙头企业</w:t>
      </w:r>
      <w:r>
        <w:rPr>
          <w:rFonts w:hint="eastAsia" w:eastAsia="仿宋_GB2312" w:cs="仿宋_GB2312"/>
          <w:color w:val="000000"/>
          <w:sz w:val="32"/>
          <w:szCs w:val="32"/>
        </w:rPr>
        <w:t>解决发展中遇到的突出困难，完善相关扶持政策。</w:t>
      </w:r>
    </w:p>
    <w:p>
      <w:pPr>
        <w:spacing w:line="560" w:lineRule="exact"/>
        <w:ind w:firstLine="630"/>
        <w:rPr>
          <w:rFonts w:eastAsia="黑体"/>
          <w:sz w:val="32"/>
          <w:szCs w:val="32"/>
        </w:rPr>
      </w:pPr>
      <w:r>
        <w:rPr>
          <w:rFonts w:hint="eastAsia" w:eastAsia="黑体" w:cs="黑体"/>
          <w:color w:val="000000"/>
          <w:sz w:val="32"/>
          <w:szCs w:val="32"/>
        </w:rPr>
        <w:t>第十五条</w:t>
      </w:r>
      <w:r>
        <w:rPr>
          <w:rFonts w:eastAsia="黑体"/>
          <w:color w:val="000000"/>
          <w:sz w:val="32"/>
          <w:szCs w:val="32"/>
        </w:rPr>
        <w:t xml:space="preserve">  </w:t>
      </w:r>
      <w:r>
        <w:rPr>
          <w:rFonts w:hint="eastAsia" w:ascii="仿宋_GB2312" w:eastAsia="仿宋_GB2312" w:cs="仿宋_GB2312"/>
          <w:color w:val="000000"/>
          <w:sz w:val="32"/>
          <w:szCs w:val="32"/>
        </w:rPr>
        <w:t>市重点龙头企业</w:t>
      </w:r>
      <w:r>
        <w:rPr>
          <w:rFonts w:hint="eastAsia" w:eastAsia="仿宋_GB2312" w:cs="仿宋_GB2312"/>
          <w:color w:val="000000"/>
          <w:sz w:val="32"/>
          <w:szCs w:val="32"/>
        </w:rPr>
        <w:t>运行监测程序：</w:t>
      </w:r>
    </w:p>
    <w:p>
      <w:pPr>
        <w:spacing w:line="560" w:lineRule="exact"/>
        <w:ind w:firstLine="716" w:firstLineChars="224"/>
        <w:rPr>
          <w:rFonts w:hint="eastAsia" w:ascii="仿宋_GB2312" w:hAnsi="宋体" w:eastAsia="仿宋_GB2312" w:cs="仿宋_GB2312"/>
          <w:color w:val="000000"/>
          <w:sz w:val="32"/>
          <w:szCs w:val="32"/>
        </w:rPr>
      </w:pPr>
      <w:r>
        <w:rPr>
          <w:rFonts w:hint="eastAsia" w:eastAsia="仿宋_GB2312" w:cs="仿宋_GB2312"/>
          <w:color w:val="000000"/>
          <w:sz w:val="32"/>
          <w:szCs w:val="32"/>
        </w:rPr>
        <w:t>（一）企业报送材料。</w:t>
      </w:r>
      <w:r>
        <w:rPr>
          <w:rFonts w:hint="eastAsia" w:ascii="仿宋_GB2312" w:hAnsi="宋体" w:eastAsia="仿宋_GB2312" w:cs="仿宋_GB2312"/>
          <w:color w:val="000000"/>
          <w:sz w:val="32"/>
          <w:szCs w:val="32"/>
        </w:rPr>
        <w:t>被监测市重点龙头企业按照监测要求报送企业经济运行情况，作为监测评估的重要依据。在监测年份，按照本办法第九条报送材料。</w:t>
      </w:r>
    </w:p>
    <w:p>
      <w:pPr>
        <w:spacing w:line="560" w:lineRule="exact"/>
        <w:ind w:firstLine="716" w:firstLineChars="224"/>
        <w:rPr>
          <w:rFonts w:eastAsia="仿宋_GB2312"/>
          <w:color w:val="000000"/>
          <w:sz w:val="32"/>
          <w:szCs w:val="32"/>
        </w:rPr>
      </w:pPr>
      <w:r>
        <w:rPr>
          <w:rFonts w:hint="eastAsia" w:eastAsia="仿宋_GB2312" w:cs="仿宋_GB2312"/>
          <w:color w:val="000000"/>
          <w:sz w:val="32"/>
          <w:szCs w:val="32"/>
        </w:rPr>
        <w:t>（二）材料汇总与核查。各区县（市）农业农村部门对所辖</w:t>
      </w:r>
      <w:r>
        <w:rPr>
          <w:rFonts w:hint="eastAsia" w:ascii="仿宋_GB2312" w:hAnsi="宋体" w:eastAsia="仿宋_GB2312" w:cs="仿宋_GB2312"/>
          <w:color w:val="000000"/>
          <w:sz w:val="32"/>
          <w:szCs w:val="32"/>
        </w:rPr>
        <w:t>市重点龙头企业</w:t>
      </w:r>
      <w:r>
        <w:rPr>
          <w:rFonts w:hint="eastAsia" w:eastAsia="仿宋_GB2312" w:cs="仿宋_GB2312"/>
          <w:color w:val="000000"/>
          <w:sz w:val="32"/>
          <w:szCs w:val="32"/>
        </w:rPr>
        <w:t>所报材料进行汇总、核查。</w:t>
      </w:r>
      <w:r>
        <w:rPr>
          <w:rFonts w:hint="eastAsia" w:ascii="仿宋_GB2312" w:hAnsi="宋体" w:eastAsia="仿宋_GB2312" w:cs="仿宋_GB2312"/>
          <w:color w:val="000000"/>
          <w:sz w:val="32"/>
          <w:szCs w:val="32"/>
        </w:rPr>
        <w:t>核查无误，经当地</w:t>
      </w:r>
      <w:r>
        <w:rPr>
          <w:rFonts w:hint="eastAsia" w:eastAsia="仿宋_GB2312" w:cs="仿宋_GB2312"/>
          <w:color w:val="000000"/>
          <w:sz w:val="32"/>
          <w:szCs w:val="32"/>
        </w:rPr>
        <w:t>区县（市）</w:t>
      </w:r>
      <w:r>
        <w:rPr>
          <w:rFonts w:hint="eastAsia" w:ascii="仿宋_GB2312" w:hAnsi="宋体" w:eastAsia="仿宋_GB2312" w:cs="仿宋_GB2312"/>
          <w:color w:val="000000"/>
          <w:sz w:val="32"/>
          <w:szCs w:val="32"/>
        </w:rPr>
        <w:t>政府同意后，监测意见正式行文报</w:t>
      </w:r>
      <w:r>
        <w:rPr>
          <w:rFonts w:hint="eastAsia" w:eastAsia="仿宋_GB2312" w:cs="仿宋_GB2312"/>
          <w:color w:val="000000"/>
          <w:sz w:val="32"/>
          <w:szCs w:val="32"/>
        </w:rPr>
        <w:t>市农委。</w:t>
      </w:r>
    </w:p>
    <w:p>
      <w:pPr>
        <w:spacing w:line="560" w:lineRule="exact"/>
        <w:ind w:firstLine="716" w:firstLineChars="224"/>
        <w:rPr>
          <w:rFonts w:ascii="仿宋_GB2312" w:hAnsi="宋体" w:eastAsia="仿宋_GB2312"/>
          <w:color w:val="000000"/>
          <w:sz w:val="32"/>
          <w:szCs w:val="32"/>
        </w:rPr>
      </w:pPr>
      <w:r>
        <w:rPr>
          <w:rFonts w:hint="eastAsia" w:eastAsia="仿宋_GB2312" w:cs="仿宋_GB2312"/>
          <w:color w:val="000000"/>
          <w:sz w:val="32"/>
          <w:szCs w:val="32"/>
        </w:rPr>
        <w:t>（三）监测结果审定。</w:t>
      </w:r>
      <w:r>
        <w:rPr>
          <w:rFonts w:hint="eastAsia" w:ascii="仿宋_GB2312" w:hAnsi="宋体" w:eastAsia="仿宋_GB2312" w:cs="仿宋_GB2312"/>
          <w:color w:val="000000"/>
          <w:sz w:val="32"/>
          <w:szCs w:val="32"/>
        </w:rPr>
        <w:t>市农委根据企业上报监测材料和</w:t>
      </w:r>
      <w:r>
        <w:rPr>
          <w:rFonts w:hint="eastAsia" w:eastAsia="仿宋_GB2312" w:cs="仿宋_GB2312"/>
          <w:color w:val="000000"/>
          <w:sz w:val="32"/>
          <w:szCs w:val="32"/>
        </w:rPr>
        <w:t>各区县（市）</w:t>
      </w:r>
      <w:r>
        <w:rPr>
          <w:rFonts w:hint="eastAsia" w:ascii="仿宋_GB2312" w:hAnsi="宋体" w:eastAsia="仿宋_GB2312" w:cs="仿宋_GB2312"/>
          <w:color w:val="000000"/>
          <w:sz w:val="32"/>
          <w:szCs w:val="32"/>
        </w:rPr>
        <w:t>监测意见，对市重点龙头企业的运行状况进行分析，监测结果提交市农业产业化联席会议各成员单位审定，报</w:t>
      </w:r>
      <w:r>
        <w:rPr>
          <w:rFonts w:hint="eastAsia" w:eastAsia="仿宋_GB2312" w:cs="仿宋_GB2312"/>
          <w:color w:val="000000"/>
          <w:sz w:val="32"/>
          <w:szCs w:val="32"/>
        </w:rPr>
        <w:t>市农业产业化经营领导小组</w:t>
      </w:r>
      <w:r>
        <w:rPr>
          <w:rFonts w:hint="eastAsia" w:ascii="仿宋_GB2312" w:hAnsi="宋体" w:eastAsia="仿宋_GB2312" w:cs="仿宋_GB2312"/>
          <w:color w:val="000000"/>
          <w:sz w:val="32"/>
          <w:szCs w:val="32"/>
        </w:rPr>
        <w:t>同意后发文公布。</w:t>
      </w:r>
    </w:p>
    <w:p>
      <w:pPr>
        <w:spacing w:line="560" w:lineRule="exact"/>
        <w:ind w:firstLine="716" w:firstLineChars="224"/>
        <w:rPr>
          <w:rFonts w:eastAsia="仿宋_GB2312"/>
          <w:color w:val="000000"/>
          <w:sz w:val="32"/>
          <w:szCs w:val="32"/>
        </w:rPr>
      </w:pPr>
      <w:r>
        <w:rPr>
          <w:rFonts w:hint="eastAsia" w:eastAsia="仿宋_GB2312" w:cs="仿宋_GB2312"/>
          <w:color w:val="000000"/>
          <w:sz w:val="32"/>
          <w:szCs w:val="32"/>
        </w:rPr>
        <w:t>（四）对因违法违规发生重大质量安全事故、被有关部门立案调查、存在坑农害农等违法违规行为，或被公布为重大税收违法案件当事人的，取消其</w:t>
      </w:r>
      <w:r>
        <w:rPr>
          <w:rFonts w:hint="eastAsia" w:ascii="仿宋_GB2312" w:hAnsi="宋体" w:eastAsia="仿宋_GB2312" w:cs="仿宋_GB2312"/>
          <w:color w:val="000000"/>
          <w:sz w:val="32"/>
          <w:szCs w:val="32"/>
        </w:rPr>
        <w:t>市重点龙头企业</w:t>
      </w:r>
      <w:r>
        <w:rPr>
          <w:rFonts w:hint="eastAsia" w:eastAsia="仿宋_GB2312" w:cs="仿宋_GB2312"/>
          <w:color w:val="000000"/>
          <w:sz w:val="32"/>
          <w:szCs w:val="32"/>
        </w:rPr>
        <w:t>资格。</w:t>
      </w:r>
    </w:p>
    <w:p>
      <w:pPr>
        <w:spacing w:line="560" w:lineRule="exact"/>
        <w:ind w:firstLine="640" w:firstLineChars="200"/>
        <w:rPr>
          <w:rFonts w:eastAsia="仿宋_GB2312"/>
          <w:color w:val="000000"/>
          <w:sz w:val="32"/>
          <w:szCs w:val="32"/>
        </w:rPr>
      </w:pPr>
      <w:r>
        <w:rPr>
          <w:rFonts w:hint="eastAsia" w:eastAsia="黑体" w:cs="黑体"/>
          <w:color w:val="000000"/>
          <w:sz w:val="32"/>
          <w:szCs w:val="32"/>
        </w:rPr>
        <w:t>第十六条</w:t>
      </w:r>
      <w:r>
        <w:rPr>
          <w:rFonts w:eastAsia="仿宋_GB2312"/>
          <w:color w:val="000000"/>
          <w:sz w:val="32"/>
          <w:szCs w:val="32"/>
        </w:rPr>
        <w:t xml:space="preserve">  </w:t>
      </w:r>
      <w:r>
        <w:rPr>
          <w:rFonts w:hint="eastAsia" w:ascii="仿宋_GB2312" w:hAnsi="宋体" w:eastAsia="仿宋_GB2312" w:cs="仿宋_GB2312"/>
          <w:color w:val="000000"/>
          <w:sz w:val="32"/>
          <w:szCs w:val="32"/>
        </w:rPr>
        <w:t>市重点龙头企业</w:t>
      </w:r>
      <w:r>
        <w:rPr>
          <w:rFonts w:hint="eastAsia" w:eastAsia="仿宋_GB2312" w:cs="仿宋_GB2312"/>
          <w:color w:val="000000"/>
          <w:sz w:val="32"/>
          <w:szCs w:val="32"/>
        </w:rPr>
        <w:t>因改制、重组等原因更改名称的，</w:t>
      </w:r>
      <w:r>
        <w:rPr>
          <w:rFonts w:hint="eastAsia" w:ascii="仿宋_GB2312" w:hAnsi="宋体" w:eastAsia="仿宋_GB2312" w:cs="仿宋_GB2312"/>
          <w:color w:val="000000"/>
          <w:sz w:val="32"/>
          <w:szCs w:val="32"/>
        </w:rPr>
        <w:t>由企业出具市场监管部门营业执照更名等材料</w:t>
      </w:r>
      <w:r>
        <w:rPr>
          <w:rFonts w:hint="eastAsia" w:eastAsia="仿宋_GB2312" w:cs="仿宋_GB2312"/>
          <w:color w:val="000000"/>
          <w:sz w:val="32"/>
          <w:szCs w:val="32"/>
        </w:rPr>
        <w:t>，区县（市）农业农村部门提出更名意见，报市农委备案。</w:t>
      </w:r>
    </w:p>
    <w:p>
      <w:pPr>
        <w:snapToGrid w:val="0"/>
        <w:spacing w:line="560" w:lineRule="exact"/>
        <w:ind w:firstLine="640" w:firstLineChars="200"/>
        <w:jc w:val="left"/>
        <w:rPr>
          <w:rFonts w:ascii="仿宋_GB2312" w:hAnsi="仿宋_GB2312" w:eastAsia="仿宋_GB2312"/>
          <w:color w:val="000000"/>
          <w:sz w:val="32"/>
          <w:szCs w:val="32"/>
          <w:lang w:val="zh-CN"/>
        </w:rPr>
      </w:pPr>
      <w:r>
        <w:rPr>
          <w:rFonts w:hint="eastAsia" w:eastAsia="黑体" w:cs="黑体"/>
          <w:color w:val="000000"/>
          <w:sz w:val="32"/>
          <w:szCs w:val="32"/>
          <w:lang w:val="zh-CN"/>
        </w:rPr>
        <w:t>第十七条</w:t>
      </w:r>
      <w:r>
        <w:rPr>
          <w:rFonts w:eastAsia="黑体"/>
          <w:color w:val="000000"/>
          <w:sz w:val="32"/>
          <w:szCs w:val="32"/>
          <w:lang w:val="zh-CN"/>
        </w:rPr>
        <w:t xml:space="preserve">  </w:t>
      </w:r>
      <w:r>
        <w:rPr>
          <w:rFonts w:hint="eastAsia" w:ascii="仿宋_GB2312" w:hAnsi="仿宋_GB2312" w:eastAsia="仿宋_GB2312" w:cs="仿宋_GB2312"/>
          <w:color w:val="000000"/>
          <w:sz w:val="32"/>
          <w:szCs w:val="32"/>
          <w:lang w:val="zh-CN"/>
        </w:rPr>
        <w:t>监测合格的市重点龙头企业，继续保留资格，享受有关优惠政策；监测不合格的，取消其市重点龙头企业资格，不再享受有关优惠政策。</w:t>
      </w:r>
    </w:p>
    <w:p>
      <w:pPr>
        <w:snapToGrid w:val="0"/>
        <w:spacing w:line="560" w:lineRule="exact"/>
        <w:ind w:firstLine="640" w:firstLineChars="200"/>
        <w:jc w:val="left"/>
        <w:rPr>
          <w:rFonts w:hAnsi="仿宋_GB2312" w:eastAsia="仿宋_GB2312"/>
          <w:color w:val="000000"/>
          <w:sz w:val="32"/>
          <w:szCs w:val="32"/>
          <w:lang w:val="zh-CN"/>
        </w:rPr>
      </w:pPr>
      <w:r>
        <w:rPr>
          <w:rFonts w:hint="eastAsia" w:eastAsia="黑体" w:cs="黑体"/>
          <w:color w:val="000000"/>
          <w:sz w:val="32"/>
          <w:szCs w:val="32"/>
        </w:rPr>
        <w:t>第十八条</w:t>
      </w:r>
      <w:r>
        <w:rPr>
          <w:rFonts w:eastAsia="黑体"/>
          <w:color w:val="000000"/>
          <w:sz w:val="32"/>
          <w:szCs w:val="32"/>
        </w:rPr>
        <w:t xml:space="preserve">  </w:t>
      </w:r>
      <w:r>
        <w:rPr>
          <w:rFonts w:hint="eastAsia" w:hAnsi="仿宋_GB2312" w:eastAsia="仿宋_GB2312" w:cs="仿宋_GB2312"/>
          <w:color w:val="000000"/>
          <w:sz w:val="32"/>
          <w:szCs w:val="32"/>
          <w:lang w:val="zh-CN"/>
        </w:rPr>
        <w:t>运行监测不得影响企业的正常生产经营。</w:t>
      </w:r>
    </w:p>
    <w:p>
      <w:pPr>
        <w:spacing w:line="320" w:lineRule="exact"/>
        <w:ind w:firstLine="716" w:firstLineChars="224"/>
        <w:rPr>
          <w:rFonts w:eastAsia="仿宋_GB2312"/>
          <w:color w:val="000000"/>
          <w:sz w:val="32"/>
          <w:szCs w:val="32"/>
        </w:rPr>
      </w:pPr>
    </w:p>
    <w:p>
      <w:pPr>
        <w:snapToGrid w:val="0"/>
        <w:spacing w:line="560" w:lineRule="exact"/>
        <w:ind w:firstLine="640" w:firstLineChars="200"/>
        <w:jc w:val="center"/>
        <w:rPr>
          <w:rFonts w:eastAsia="黑体"/>
          <w:color w:val="000000"/>
          <w:sz w:val="32"/>
          <w:szCs w:val="32"/>
        </w:rPr>
      </w:pPr>
      <w:r>
        <w:rPr>
          <w:rFonts w:hint="eastAsia" w:eastAsia="黑体" w:cs="黑体"/>
          <w:color w:val="000000"/>
          <w:sz w:val="32"/>
          <w:szCs w:val="32"/>
        </w:rPr>
        <w:t>第六章</w:t>
      </w:r>
      <w:r>
        <w:rPr>
          <w:rFonts w:eastAsia="黑体"/>
          <w:color w:val="000000"/>
          <w:sz w:val="32"/>
          <w:szCs w:val="32"/>
        </w:rPr>
        <w:t xml:space="preserve">  </w:t>
      </w:r>
      <w:r>
        <w:rPr>
          <w:rFonts w:hint="eastAsia" w:eastAsia="黑体" w:cs="黑体"/>
          <w:color w:val="000000"/>
          <w:sz w:val="32"/>
          <w:szCs w:val="32"/>
        </w:rPr>
        <w:t>附则</w:t>
      </w:r>
    </w:p>
    <w:p>
      <w:pPr>
        <w:snapToGrid w:val="0"/>
        <w:spacing w:line="560" w:lineRule="exact"/>
        <w:ind w:firstLine="640" w:firstLineChars="200"/>
        <w:rPr>
          <w:rFonts w:eastAsia="仿宋_GB2312"/>
          <w:color w:val="000000"/>
          <w:sz w:val="32"/>
          <w:szCs w:val="32"/>
          <w:lang w:val="zh-CN"/>
        </w:rPr>
      </w:pPr>
      <w:r>
        <w:rPr>
          <w:rFonts w:hint="eastAsia" w:eastAsia="黑体" w:cs="黑体"/>
          <w:color w:val="000000"/>
          <w:sz w:val="32"/>
          <w:szCs w:val="32"/>
          <w:lang w:val="zh-CN"/>
        </w:rPr>
        <w:t>第十九条</w:t>
      </w:r>
      <w:r>
        <w:rPr>
          <w:rFonts w:eastAsia="黑体"/>
          <w:color w:val="000000"/>
          <w:sz w:val="32"/>
          <w:szCs w:val="32"/>
          <w:lang w:val="zh-CN"/>
        </w:rPr>
        <w:t xml:space="preserve">  </w:t>
      </w:r>
      <w:r>
        <w:rPr>
          <w:rFonts w:hint="eastAsia" w:hAnsi="仿宋_GB2312" w:eastAsia="仿宋_GB2312" w:cs="仿宋_GB2312"/>
          <w:sz w:val="32"/>
          <w:szCs w:val="32"/>
          <w:lang w:val="zh-CN"/>
        </w:rPr>
        <w:t>申请认定或参加监测的</w:t>
      </w:r>
      <w:r>
        <w:rPr>
          <w:rFonts w:hint="eastAsia" w:ascii="仿宋_GB2312" w:hAnsi="仿宋_GB2312" w:eastAsia="仿宋_GB2312" w:cs="仿宋_GB2312"/>
          <w:color w:val="000000"/>
          <w:sz w:val="32"/>
          <w:szCs w:val="32"/>
          <w:lang w:val="zh-CN"/>
        </w:rPr>
        <w:t>市重点龙头企业</w:t>
      </w:r>
      <w:r>
        <w:rPr>
          <w:rFonts w:hint="eastAsia" w:hAnsi="仿宋_GB2312" w:eastAsia="仿宋_GB2312" w:cs="仿宋_GB2312"/>
          <w:sz w:val="32"/>
          <w:szCs w:val="32"/>
          <w:lang w:val="zh-CN"/>
        </w:rPr>
        <w:t>应积极配合农业农村部门的工作，据实提供有关材料，不得弄虚作假，对材料的真实性负责。如存在舞弊行为，一经查实，已经认定的企业取消其</w:t>
      </w:r>
      <w:r>
        <w:rPr>
          <w:rFonts w:hint="eastAsia" w:ascii="仿宋_GB2312" w:hAnsi="仿宋_GB2312" w:eastAsia="仿宋_GB2312" w:cs="仿宋_GB2312"/>
          <w:color w:val="000000"/>
          <w:sz w:val="32"/>
          <w:szCs w:val="32"/>
          <w:lang w:val="zh-CN"/>
        </w:rPr>
        <w:t>市重点龙头企业</w:t>
      </w:r>
      <w:r>
        <w:rPr>
          <w:rFonts w:hint="eastAsia" w:hAnsi="仿宋_GB2312" w:eastAsia="仿宋_GB2312" w:cs="仿宋_GB2312"/>
          <w:sz w:val="32"/>
          <w:szCs w:val="32"/>
          <w:lang w:val="zh-CN"/>
        </w:rPr>
        <w:t>资格；未经认定的取消其</w:t>
      </w:r>
      <w:r>
        <w:rPr>
          <w:rFonts w:hint="eastAsia" w:hAnsi="仿宋_GB2312" w:eastAsia="仿宋_GB2312" w:cs="仿宋_GB2312"/>
          <w:color w:val="000000"/>
          <w:sz w:val="32"/>
          <w:szCs w:val="32"/>
          <w:lang w:val="zh-CN"/>
        </w:rPr>
        <w:t>申报资格，</w:t>
      </w:r>
      <w:r>
        <w:rPr>
          <w:rFonts w:eastAsia="仿宋_GB2312"/>
          <w:color w:val="000000"/>
          <w:sz w:val="32"/>
          <w:szCs w:val="32"/>
          <w:lang w:val="zh-CN"/>
        </w:rPr>
        <w:t>4</w:t>
      </w:r>
      <w:r>
        <w:rPr>
          <w:rFonts w:hint="eastAsia" w:hAnsi="仿宋_GB2312" w:eastAsia="仿宋_GB2312" w:cs="仿宋_GB2312"/>
          <w:color w:val="000000"/>
          <w:sz w:val="32"/>
          <w:szCs w:val="32"/>
          <w:lang w:val="zh-CN"/>
        </w:rPr>
        <w:t>年内不得再行申报。</w:t>
      </w:r>
    </w:p>
    <w:p>
      <w:pPr>
        <w:snapToGrid w:val="0"/>
        <w:spacing w:line="560" w:lineRule="exact"/>
        <w:ind w:firstLine="640" w:firstLineChars="200"/>
        <w:rPr>
          <w:rFonts w:ascii="黑体" w:eastAsia="黑体"/>
          <w:color w:val="000000"/>
          <w:sz w:val="32"/>
          <w:szCs w:val="32"/>
        </w:rPr>
      </w:pPr>
      <w:r>
        <w:rPr>
          <w:rFonts w:hint="eastAsia" w:eastAsia="黑体" w:cs="黑体"/>
          <w:color w:val="000000"/>
          <w:sz w:val="32"/>
          <w:szCs w:val="32"/>
          <w:lang w:val="zh-CN"/>
        </w:rPr>
        <w:t>第二十条</w:t>
      </w:r>
      <w:r>
        <w:rPr>
          <w:rFonts w:eastAsia="黑体"/>
          <w:color w:val="000000"/>
          <w:sz w:val="32"/>
          <w:szCs w:val="32"/>
          <w:lang w:val="zh-CN"/>
        </w:rPr>
        <w:t xml:space="preserve">  </w:t>
      </w:r>
      <w:r>
        <w:rPr>
          <w:rFonts w:hint="eastAsia" w:ascii="仿宋_GB2312" w:hAnsi="仿宋_GB2312" w:eastAsia="仿宋_GB2312" w:cs="仿宋_GB2312"/>
          <w:color w:val="000000"/>
          <w:sz w:val="32"/>
          <w:szCs w:val="32"/>
          <w:lang w:val="zh-CN"/>
        </w:rPr>
        <w:t>申报认定、运行监测过程中存在隐瞒、虚报等舞弊行为的</w:t>
      </w:r>
      <w:r>
        <w:rPr>
          <w:rFonts w:hint="eastAsia" w:eastAsia="仿宋_GB2312" w:cs="仿宋_GB2312"/>
          <w:color w:val="000000"/>
          <w:sz w:val="32"/>
          <w:szCs w:val="32"/>
        </w:rPr>
        <w:t>区县（市）</w:t>
      </w:r>
      <w:r>
        <w:rPr>
          <w:rFonts w:hint="eastAsia" w:ascii="仿宋_GB2312" w:hAnsi="仿宋_GB2312" w:eastAsia="仿宋_GB2312" w:cs="仿宋_GB2312"/>
          <w:color w:val="000000"/>
          <w:sz w:val="32"/>
          <w:szCs w:val="32"/>
          <w:lang w:val="zh-CN"/>
        </w:rPr>
        <w:t>，一经发现进行通报批评，问题严重的，可取消其推荐资格。</w:t>
      </w:r>
    </w:p>
    <w:p>
      <w:pPr>
        <w:snapToGrid w:val="0"/>
        <w:spacing w:line="560" w:lineRule="exact"/>
        <w:ind w:firstLine="640" w:firstLineChars="200"/>
        <w:rPr>
          <w:rFonts w:eastAsia="仿宋_GB2312"/>
          <w:color w:val="000000"/>
          <w:sz w:val="32"/>
          <w:szCs w:val="32"/>
          <w:lang w:val="zh-CN"/>
        </w:rPr>
      </w:pPr>
      <w:r>
        <w:rPr>
          <w:rFonts w:hint="eastAsia" w:eastAsia="黑体" w:cs="黑体"/>
          <w:color w:val="000000"/>
          <w:sz w:val="32"/>
          <w:szCs w:val="32"/>
          <w:lang w:val="zh-CN"/>
        </w:rPr>
        <w:t>第二十一条</w:t>
      </w:r>
      <w:r>
        <w:rPr>
          <w:rFonts w:eastAsia="仿宋_GB2312"/>
          <w:color w:val="000000"/>
          <w:sz w:val="32"/>
          <w:szCs w:val="32"/>
          <w:lang w:val="zh-CN"/>
        </w:rPr>
        <w:t xml:space="preserve">  </w:t>
      </w:r>
      <w:r>
        <w:rPr>
          <w:rFonts w:hint="eastAsia" w:hAnsi="仿宋_GB2312" w:eastAsia="仿宋_GB2312" w:cs="仿宋_GB2312"/>
          <w:color w:val="000000"/>
          <w:sz w:val="32"/>
          <w:szCs w:val="32"/>
          <w:lang w:val="zh-CN"/>
        </w:rPr>
        <w:t>本办法由市农委负责解释。</w:t>
      </w:r>
    </w:p>
    <w:p>
      <w:pPr>
        <w:snapToGrid w:val="0"/>
        <w:spacing w:line="560" w:lineRule="exact"/>
        <w:ind w:firstLine="640" w:firstLineChars="200"/>
        <w:rPr>
          <w:rFonts w:eastAsia="仿宋_GB2312"/>
          <w:color w:val="000000"/>
          <w:sz w:val="32"/>
          <w:szCs w:val="32"/>
          <w:lang w:val="zh-CN"/>
        </w:rPr>
      </w:pPr>
      <w:r>
        <w:rPr>
          <w:rFonts w:hint="eastAsia" w:eastAsia="黑体" w:cs="黑体"/>
          <w:color w:val="000000"/>
          <w:sz w:val="32"/>
          <w:szCs w:val="32"/>
          <w:lang w:val="zh-CN"/>
        </w:rPr>
        <w:t>第二十二条</w:t>
      </w:r>
      <w:r>
        <w:rPr>
          <w:rFonts w:eastAsia="仿宋_GB2312"/>
          <w:color w:val="000000"/>
          <w:sz w:val="32"/>
          <w:szCs w:val="32"/>
          <w:lang w:val="zh-CN"/>
        </w:rPr>
        <w:t xml:space="preserve">  </w:t>
      </w:r>
      <w:r>
        <w:rPr>
          <w:rFonts w:hint="eastAsia" w:ascii="仿宋_GB2312" w:eastAsia="仿宋_GB2312" w:cs="仿宋_GB2312"/>
          <w:color w:val="000000"/>
          <w:sz w:val="32"/>
          <w:szCs w:val="32"/>
        </w:rPr>
        <w:t>本办法自发布之日起施行</w:t>
      </w:r>
      <w:r>
        <w:rPr>
          <w:rFonts w:hint="eastAsia" w:hAnsi="仿宋_GB2312" w:eastAsia="仿宋_GB2312" w:cs="仿宋_GB2312"/>
          <w:color w:val="000000"/>
          <w:sz w:val="32"/>
          <w:szCs w:val="32"/>
          <w:lang w:val="zh-CN"/>
        </w:rPr>
        <w:t>，</w:t>
      </w:r>
      <w:r>
        <w:rPr>
          <w:rFonts w:eastAsia="仿宋_GB2312"/>
          <w:color w:val="000000"/>
          <w:sz w:val="32"/>
          <w:szCs w:val="32"/>
          <w:lang w:val="zh-CN"/>
        </w:rPr>
        <w:t>2012</w:t>
      </w:r>
      <w:r>
        <w:rPr>
          <w:rFonts w:hint="eastAsia" w:hAnsi="仿宋_GB2312" w:eastAsia="仿宋_GB2312" w:cs="仿宋_GB2312"/>
          <w:color w:val="000000"/>
          <w:sz w:val="32"/>
          <w:szCs w:val="32"/>
          <w:lang w:val="zh-CN"/>
        </w:rPr>
        <w:t>年公布的《关于印发〈郑州市农业产业化经营重点龙头企业认定和运行监测管理办法〉的通知》（郑农产〔</w:t>
      </w:r>
      <w:r>
        <w:rPr>
          <w:rFonts w:eastAsia="仿宋_GB2312"/>
          <w:color w:val="000000"/>
          <w:sz w:val="32"/>
          <w:szCs w:val="32"/>
          <w:lang w:val="zh-CN"/>
        </w:rPr>
        <w:t>2012</w:t>
      </w:r>
      <w:r>
        <w:rPr>
          <w:rFonts w:hint="eastAsia" w:hAnsi="仿宋_GB2312" w:eastAsia="仿宋_GB2312" w:cs="仿宋_GB2312"/>
          <w:color w:val="000000"/>
          <w:sz w:val="32"/>
          <w:szCs w:val="32"/>
          <w:lang w:val="zh-CN"/>
        </w:rPr>
        <w:t>〕</w:t>
      </w:r>
      <w:r>
        <w:rPr>
          <w:rFonts w:eastAsia="仿宋_GB2312"/>
          <w:color w:val="000000"/>
          <w:sz w:val="32"/>
          <w:szCs w:val="32"/>
          <w:lang w:val="zh-CN"/>
        </w:rPr>
        <w:t>1</w:t>
      </w:r>
      <w:r>
        <w:rPr>
          <w:rFonts w:hint="eastAsia" w:hAnsi="仿宋_GB2312" w:eastAsia="仿宋_GB2312" w:cs="仿宋_GB2312"/>
          <w:color w:val="000000"/>
          <w:sz w:val="32"/>
          <w:szCs w:val="32"/>
          <w:lang w:val="zh-CN"/>
        </w:rPr>
        <w:t>号）同时废止。</w:t>
      </w:r>
    </w:p>
    <w:sectPr>
      <w:footerReference r:id="rId3" w:type="default"/>
      <w:pgSz w:w="11906" w:h="16838"/>
      <w:pgMar w:top="1701" w:right="1418" w:bottom="1701" w:left="170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oNotHyphenateCaps/>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5F2"/>
    <w:rsid w:val="00005344"/>
    <w:rsid w:val="00014839"/>
    <w:rsid w:val="000255C7"/>
    <w:rsid w:val="00036D4F"/>
    <w:rsid w:val="00051B5A"/>
    <w:rsid w:val="00052CC9"/>
    <w:rsid w:val="0006292E"/>
    <w:rsid w:val="0006312C"/>
    <w:rsid w:val="00064A67"/>
    <w:rsid w:val="00073B8F"/>
    <w:rsid w:val="0007730C"/>
    <w:rsid w:val="00094BF0"/>
    <w:rsid w:val="000A07B1"/>
    <w:rsid w:val="000B00DB"/>
    <w:rsid w:val="000B5CDA"/>
    <w:rsid w:val="000D33D6"/>
    <w:rsid w:val="000E547D"/>
    <w:rsid w:val="000F3EDB"/>
    <w:rsid w:val="00110A66"/>
    <w:rsid w:val="00111FC0"/>
    <w:rsid w:val="0011507D"/>
    <w:rsid w:val="001171E9"/>
    <w:rsid w:val="001240E6"/>
    <w:rsid w:val="001242FB"/>
    <w:rsid w:val="00145195"/>
    <w:rsid w:val="00146564"/>
    <w:rsid w:val="00152D7A"/>
    <w:rsid w:val="00163F3A"/>
    <w:rsid w:val="00166107"/>
    <w:rsid w:val="00173AFC"/>
    <w:rsid w:val="0017424E"/>
    <w:rsid w:val="00176F1A"/>
    <w:rsid w:val="0018353A"/>
    <w:rsid w:val="00186C1F"/>
    <w:rsid w:val="00187F01"/>
    <w:rsid w:val="0019001B"/>
    <w:rsid w:val="001A2496"/>
    <w:rsid w:val="001A3D99"/>
    <w:rsid w:val="001A6899"/>
    <w:rsid w:val="001A6CA5"/>
    <w:rsid w:val="001B7113"/>
    <w:rsid w:val="001C017C"/>
    <w:rsid w:val="001D15ED"/>
    <w:rsid w:val="001D18A1"/>
    <w:rsid w:val="001D2246"/>
    <w:rsid w:val="001D3E10"/>
    <w:rsid w:val="001E357E"/>
    <w:rsid w:val="001E387A"/>
    <w:rsid w:val="002008AF"/>
    <w:rsid w:val="0020664A"/>
    <w:rsid w:val="00213265"/>
    <w:rsid w:val="00220E9D"/>
    <w:rsid w:val="0022225C"/>
    <w:rsid w:val="0022330B"/>
    <w:rsid w:val="0023243F"/>
    <w:rsid w:val="00233534"/>
    <w:rsid w:val="00243AEF"/>
    <w:rsid w:val="002448E5"/>
    <w:rsid w:val="0025485F"/>
    <w:rsid w:val="00271333"/>
    <w:rsid w:val="00271DC0"/>
    <w:rsid w:val="002A7FE3"/>
    <w:rsid w:val="002B2EC3"/>
    <w:rsid w:val="002C14E2"/>
    <w:rsid w:val="002D6513"/>
    <w:rsid w:val="002D795B"/>
    <w:rsid w:val="002E689C"/>
    <w:rsid w:val="002F042A"/>
    <w:rsid w:val="002F1218"/>
    <w:rsid w:val="002F3A03"/>
    <w:rsid w:val="002F65C1"/>
    <w:rsid w:val="003057AC"/>
    <w:rsid w:val="00306AF8"/>
    <w:rsid w:val="00311418"/>
    <w:rsid w:val="003210BC"/>
    <w:rsid w:val="003258C7"/>
    <w:rsid w:val="00326324"/>
    <w:rsid w:val="0034499E"/>
    <w:rsid w:val="00347ABD"/>
    <w:rsid w:val="00351388"/>
    <w:rsid w:val="00351B23"/>
    <w:rsid w:val="003645F2"/>
    <w:rsid w:val="00371FFF"/>
    <w:rsid w:val="0037251F"/>
    <w:rsid w:val="00376F5D"/>
    <w:rsid w:val="00383B13"/>
    <w:rsid w:val="003878B1"/>
    <w:rsid w:val="00392D80"/>
    <w:rsid w:val="00397458"/>
    <w:rsid w:val="003A3749"/>
    <w:rsid w:val="003A4469"/>
    <w:rsid w:val="003A66E6"/>
    <w:rsid w:val="003B39B7"/>
    <w:rsid w:val="003D17F1"/>
    <w:rsid w:val="003D6A4C"/>
    <w:rsid w:val="003F0C08"/>
    <w:rsid w:val="003F463F"/>
    <w:rsid w:val="003F6273"/>
    <w:rsid w:val="00421D69"/>
    <w:rsid w:val="00436FE8"/>
    <w:rsid w:val="00453C9F"/>
    <w:rsid w:val="004640B8"/>
    <w:rsid w:val="00470381"/>
    <w:rsid w:val="00471994"/>
    <w:rsid w:val="00484932"/>
    <w:rsid w:val="004922A2"/>
    <w:rsid w:val="004A14DF"/>
    <w:rsid w:val="004B05F4"/>
    <w:rsid w:val="004B2440"/>
    <w:rsid w:val="004C23B7"/>
    <w:rsid w:val="004D65D8"/>
    <w:rsid w:val="004E2FEC"/>
    <w:rsid w:val="004E5634"/>
    <w:rsid w:val="004F1150"/>
    <w:rsid w:val="004F3841"/>
    <w:rsid w:val="00505595"/>
    <w:rsid w:val="0051061C"/>
    <w:rsid w:val="005151D5"/>
    <w:rsid w:val="005179DC"/>
    <w:rsid w:val="0052035C"/>
    <w:rsid w:val="00532624"/>
    <w:rsid w:val="0053419C"/>
    <w:rsid w:val="005427F5"/>
    <w:rsid w:val="005433BF"/>
    <w:rsid w:val="00547C7F"/>
    <w:rsid w:val="00550147"/>
    <w:rsid w:val="00551170"/>
    <w:rsid w:val="00552E71"/>
    <w:rsid w:val="005700E6"/>
    <w:rsid w:val="005750A9"/>
    <w:rsid w:val="00592C3B"/>
    <w:rsid w:val="005A6532"/>
    <w:rsid w:val="005A76CA"/>
    <w:rsid w:val="005B7C45"/>
    <w:rsid w:val="005C30CA"/>
    <w:rsid w:val="006002D3"/>
    <w:rsid w:val="00610617"/>
    <w:rsid w:val="00613ACF"/>
    <w:rsid w:val="00646871"/>
    <w:rsid w:val="00664F92"/>
    <w:rsid w:val="0066799F"/>
    <w:rsid w:val="00667F66"/>
    <w:rsid w:val="006705E6"/>
    <w:rsid w:val="00673B12"/>
    <w:rsid w:val="00681075"/>
    <w:rsid w:val="00681B68"/>
    <w:rsid w:val="006851ED"/>
    <w:rsid w:val="00694CC4"/>
    <w:rsid w:val="006A1884"/>
    <w:rsid w:val="006C1DD2"/>
    <w:rsid w:val="006C4D93"/>
    <w:rsid w:val="006C68B6"/>
    <w:rsid w:val="006C7639"/>
    <w:rsid w:val="006D54FA"/>
    <w:rsid w:val="006E6F57"/>
    <w:rsid w:val="006F08B2"/>
    <w:rsid w:val="00700E45"/>
    <w:rsid w:val="00702628"/>
    <w:rsid w:val="00705011"/>
    <w:rsid w:val="00707B87"/>
    <w:rsid w:val="007356DE"/>
    <w:rsid w:val="00735E44"/>
    <w:rsid w:val="0074131E"/>
    <w:rsid w:val="00752985"/>
    <w:rsid w:val="00776BB2"/>
    <w:rsid w:val="00782DC3"/>
    <w:rsid w:val="00791B4F"/>
    <w:rsid w:val="00797D2A"/>
    <w:rsid w:val="007A32FE"/>
    <w:rsid w:val="007A576A"/>
    <w:rsid w:val="007B205E"/>
    <w:rsid w:val="007B6C09"/>
    <w:rsid w:val="007C158E"/>
    <w:rsid w:val="007C1D2A"/>
    <w:rsid w:val="007C3EA9"/>
    <w:rsid w:val="007D3B1F"/>
    <w:rsid w:val="007E73D6"/>
    <w:rsid w:val="007F1D87"/>
    <w:rsid w:val="007F3D09"/>
    <w:rsid w:val="00806B3B"/>
    <w:rsid w:val="008072BA"/>
    <w:rsid w:val="008109EC"/>
    <w:rsid w:val="00812ECF"/>
    <w:rsid w:val="0081304E"/>
    <w:rsid w:val="008226D3"/>
    <w:rsid w:val="00822B2B"/>
    <w:rsid w:val="00830CBC"/>
    <w:rsid w:val="00845B6D"/>
    <w:rsid w:val="00847AC8"/>
    <w:rsid w:val="008562FB"/>
    <w:rsid w:val="00883B27"/>
    <w:rsid w:val="00892513"/>
    <w:rsid w:val="008A0C44"/>
    <w:rsid w:val="008C442B"/>
    <w:rsid w:val="008D6F0E"/>
    <w:rsid w:val="008F2EED"/>
    <w:rsid w:val="00905E67"/>
    <w:rsid w:val="00911E74"/>
    <w:rsid w:val="009178C6"/>
    <w:rsid w:val="009221EE"/>
    <w:rsid w:val="0093302C"/>
    <w:rsid w:val="009439D6"/>
    <w:rsid w:val="00945E30"/>
    <w:rsid w:val="009503D4"/>
    <w:rsid w:val="00977B3B"/>
    <w:rsid w:val="00980282"/>
    <w:rsid w:val="00985A35"/>
    <w:rsid w:val="009C60CD"/>
    <w:rsid w:val="009D394B"/>
    <w:rsid w:val="009D6D9B"/>
    <w:rsid w:val="009D70B8"/>
    <w:rsid w:val="009E5C2F"/>
    <w:rsid w:val="009F165D"/>
    <w:rsid w:val="009F6CBE"/>
    <w:rsid w:val="00A13597"/>
    <w:rsid w:val="00A1764D"/>
    <w:rsid w:val="00A250E0"/>
    <w:rsid w:val="00A33E7E"/>
    <w:rsid w:val="00A45740"/>
    <w:rsid w:val="00A468BC"/>
    <w:rsid w:val="00A61D62"/>
    <w:rsid w:val="00A65176"/>
    <w:rsid w:val="00A6618A"/>
    <w:rsid w:val="00A73473"/>
    <w:rsid w:val="00A74F9F"/>
    <w:rsid w:val="00A81AB9"/>
    <w:rsid w:val="00A87CEA"/>
    <w:rsid w:val="00A928B6"/>
    <w:rsid w:val="00A97AA2"/>
    <w:rsid w:val="00AA0CCD"/>
    <w:rsid w:val="00AA1723"/>
    <w:rsid w:val="00AD5DAE"/>
    <w:rsid w:val="00AF5139"/>
    <w:rsid w:val="00B072A7"/>
    <w:rsid w:val="00B26F78"/>
    <w:rsid w:val="00B31A03"/>
    <w:rsid w:val="00B35773"/>
    <w:rsid w:val="00B40E09"/>
    <w:rsid w:val="00B42D59"/>
    <w:rsid w:val="00B4717E"/>
    <w:rsid w:val="00B54FD9"/>
    <w:rsid w:val="00B5709D"/>
    <w:rsid w:val="00B6326A"/>
    <w:rsid w:val="00B668A0"/>
    <w:rsid w:val="00B6743E"/>
    <w:rsid w:val="00B70F92"/>
    <w:rsid w:val="00B74B0A"/>
    <w:rsid w:val="00B81906"/>
    <w:rsid w:val="00B95274"/>
    <w:rsid w:val="00B975A7"/>
    <w:rsid w:val="00BA5A8E"/>
    <w:rsid w:val="00BC1730"/>
    <w:rsid w:val="00BC5A10"/>
    <w:rsid w:val="00BC7950"/>
    <w:rsid w:val="00BD49AD"/>
    <w:rsid w:val="00BD57DC"/>
    <w:rsid w:val="00BE3BC6"/>
    <w:rsid w:val="00BF1EF3"/>
    <w:rsid w:val="00BF5247"/>
    <w:rsid w:val="00C07B80"/>
    <w:rsid w:val="00C138FA"/>
    <w:rsid w:val="00C13F2C"/>
    <w:rsid w:val="00C20186"/>
    <w:rsid w:val="00C21B5B"/>
    <w:rsid w:val="00C35A31"/>
    <w:rsid w:val="00C36487"/>
    <w:rsid w:val="00C37B1B"/>
    <w:rsid w:val="00C45792"/>
    <w:rsid w:val="00C54721"/>
    <w:rsid w:val="00C7263C"/>
    <w:rsid w:val="00C72844"/>
    <w:rsid w:val="00C77359"/>
    <w:rsid w:val="00C81F02"/>
    <w:rsid w:val="00C84D1C"/>
    <w:rsid w:val="00C923CA"/>
    <w:rsid w:val="00C9256D"/>
    <w:rsid w:val="00C93D38"/>
    <w:rsid w:val="00C9594D"/>
    <w:rsid w:val="00C96946"/>
    <w:rsid w:val="00CA0F6F"/>
    <w:rsid w:val="00CA1B74"/>
    <w:rsid w:val="00CA49B7"/>
    <w:rsid w:val="00CA4B30"/>
    <w:rsid w:val="00CB5BC1"/>
    <w:rsid w:val="00CC263F"/>
    <w:rsid w:val="00CD20AB"/>
    <w:rsid w:val="00D10DCA"/>
    <w:rsid w:val="00D216AA"/>
    <w:rsid w:val="00D30D1E"/>
    <w:rsid w:val="00D345B9"/>
    <w:rsid w:val="00D445EC"/>
    <w:rsid w:val="00D4511E"/>
    <w:rsid w:val="00D45D74"/>
    <w:rsid w:val="00D4693C"/>
    <w:rsid w:val="00D54FE4"/>
    <w:rsid w:val="00D5746D"/>
    <w:rsid w:val="00D57ADB"/>
    <w:rsid w:val="00D62D05"/>
    <w:rsid w:val="00D677AD"/>
    <w:rsid w:val="00D81853"/>
    <w:rsid w:val="00D87BE4"/>
    <w:rsid w:val="00DB0BDE"/>
    <w:rsid w:val="00DB7A4E"/>
    <w:rsid w:val="00DC171F"/>
    <w:rsid w:val="00DC2767"/>
    <w:rsid w:val="00DC2999"/>
    <w:rsid w:val="00DC3CA7"/>
    <w:rsid w:val="00DC3D75"/>
    <w:rsid w:val="00DC5808"/>
    <w:rsid w:val="00DC6A0B"/>
    <w:rsid w:val="00DC7776"/>
    <w:rsid w:val="00DE3CDB"/>
    <w:rsid w:val="00DE58F5"/>
    <w:rsid w:val="00E06757"/>
    <w:rsid w:val="00E11647"/>
    <w:rsid w:val="00E12F1D"/>
    <w:rsid w:val="00E13D0C"/>
    <w:rsid w:val="00E177DD"/>
    <w:rsid w:val="00E2324B"/>
    <w:rsid w:val="00E32151"/>
    <w:rsid w:val="00E3760C"/>
    <w:rsid w:val="00E47FBB"/>
    <w:rsid w:val="00E56275"/>
    <w:rsid w:val="00E62FBC"/>
    <w:rsid w:val="00E64A2D"/>
    <w:rsid w:val="00E672BD"/>
    <w:rsid w:val="00E73668"/>
    <w:rsid w:val="00E749FC"/>
    <w:rsid w:val="00E91C2E"/>
    <w:rsid w:val="00EA0D3C"/>
    <w:rsid w:val="00EC14AC"/>
    <w:rsid w:val="00EC5C20"/>
    <w:rsid w:val="00EC6932"/>
    <w:rsid w:val="00ED0140"/>
    <w:rsid w:val="00ED5F51"/>
    <w:rsid w:val="00ED74B5"/>
    <w:rsid w:val="00EF0C10"/>
    <w:rsid w:val="00EF2976"/>
    <w:rsid w:val="00EF6C0B"/>
    <w:rsid w:val="00EF7148"/>
    <w:rsid w:val="00F0555F"/>
    <w:rsid w:val="00F076D3"/>
    <w:rsid w:val="00F11253"/>
    <w:rsid w:val="00F13449"/>
    <w:rsid w:val="00F14D50"/>
    <w:rsid w:val="00F30942"/>
    <w:rsid w:val="00F36D62"/>
    <w:rsid w:val="00F508B3"/>
    <w:rsid w:val="00F6659A"/>
    <w:rsid w:val="00F70BF6"/>
    <w:rsid w:val="00F71196"/>
    <w:rsid w:val="00F7331C"/>
    <w:rsid w:val="00F7404D"/>
    <w:rsid w:val="00F77F0C"/>
    <w:rsid w:val="00F86EF0"/>
    <w:rsid w:val="00F9147A"/>
    <w:rsid w:val="00FA5E6A"/>
    <w:rsid w:val="00FB5A3D"/>
    <w:rsid w:val="00FB6B2A"/>
    <w:rsid w:val="00FD4E27"/>
    <w:rsid w:val="00FD6C8A"/>
    <w:rsid w:val="00FE2270"/>
    <w:rsid w:val="00FE68E6"/>
    <w:rsid w:val="00FE6C73"/>
    <w:rsid w:val="00FF142E"/>
    <w:rsid w:val="00FF49C9"/>
    <w:rsid w:val="3DF742CB"/>
    <w:rsid w:val="5FFF0572"/>
    <w:rsid w:val="7FF3B0CE"/>
    <w:rsid w:val="FBFF31CD"/>
    <w:rsid w:val="FFEB75D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semiHidden/>
    <w:unhideWhenUsed/>
    <w:qFormat/>
    <w:locked/>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semiHidden/>
    <w:qFormat/>
    <w:uiPriority w:val="99"/>
    <w:pPr>
      <w:jc w:val="left"/>
    </w:pPr>
  </w:style>
  <w:style w:type="paragraph" w:styleId="4">
    <w:name w:val="Plain Text"/>
    <w:basedOn w:val="1"/>
    <w:link w:val="14"/>
    <w:qFormat/>
    <w:uiPriority w:val="99"/>
    <w:rPr>
      <w:rFonts w:ascii="宋体" w:hAnsi="Courier New" w:cs="宋体"/>
    </w:rPr>
  </w:style>
  <w:style w:type="paragraph" w:styleId="5">
    <w:name w:val="Balloon Text"/>
    <w:basedOn w:val="1"/>
    <w:link w:val="18"/>
    <w:semiHidden/>
    <w:qFormat/>
    <w:uiPriority w:val="99"/>
    <w:rPr>
      <w:sz w:val="18"/>
      <w:szCs w:val="18"/>
    </w:rPr>
  </w:style>
  <w:style w:type="paragraph" w:styleId="6">
    <w:name w:val="footer"/>
    <w:basedOn w:val="1"/>
    <w:link w:val="20"/>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1"/>
    <w:semiHidden/>
    <w:qFormat/>
    <w:uiPriority w:val="99"/>
    <w:rPr>
      <w:b/>
      <w:bCs/>
    </w:rPr>
  </w:style>
  <w:style w:type="character" w:styleId="11">
    <w:name w:val="page number"/>
    <w:basedOn w:val="10"/>
    <w:qFormat/>
    <w:uiPriority w:val="99"/>
  </w:style>
  <w:style w:type="character" w:styleId="12">
    <w:name w:val="Emphasis"/>
    <w:basedOn w:val="10"/>
    <w:qFormat/>
    <w:locked/>
    <w:uiPriority w:val="0"/>
    <w:rPr>
      <w:i/>
    </w:rPr>
  </w:style>
  <w:style w:type="character" w:styleId="13">
    <w:name w:val="annotation reference"/>
    <w:basedOn w:val="10"/>
    <w:semiHidden/>
    <w:qFormat/>
    <w:uiPriority w:val="99"/>
    <w:rPr>
      <w:sz w:val="21"/>
      <w:szCs w:val="21"/>
    </w:rPr>
  </w:style>
  <w:style w:type="character" w:customStyle="1" w:styleId="14">
    <w:name w:val="Plain Text Char"/>
    <w:basedOn w:val="10"/>
    <w:link w:val="4"/>
    <w:qFormat/>
    <w:locked/>
    <w:uiPriority w:val="99"/>
    <w:rPr>
      <w:rFonts w:ascii="宋体" w:hAnsi="Courier New" w:eastAsia="宋体" w:cs="宋体"/>
      <w:sz w:val="20"/>
      <w:szCs w:val="20"/>
    </w:rPr>
  </w:style>
  <w:style w:type="character" w:customStyle="1" w:styleId="15">
    <w:name w:val="Comment Text Char"/>
    <w:basedOn w:val="10"/>
    <w:link w:val="3"/>
    <w:semiHidden/>
    <w:qFormat/>
    <w:locked/>
    <w:uiPriority w:val="99"/>
    <w:rPr>
      <w:rFonts w:ascii="Times New Roman" w:hAnsi="Times New Roman" w:eastAsia="宋体" w:cs="Times New Roman"/>
      <w:sz w:val="24"/>
      <w:szCs w:val="24"/>
    </w:rPr>
  </w:style>
  <w:style w:type="paragraph" w:customStyle="1" w:styleId="16">
    <w:name w:val="Char"/>
    <w:basedOn w:val="1"/>
    <w:qFormat/>
    <w:uiPriority w:val="99"/>
    <w:pPr>
      <w:widowControl/>
      <w:adjustRightInd w:val="0"/>
      <w:spacing w:after="160" w:line="240" w:lineRule="exact"/>
      <w:jc w:val="left"/>
    </w:pPr>
    <w:rPr>
      <w:rFonts w:ascii="Verdana" w:hAnsi="Verdana" w:cs="Verdana"/>
      <w:kern w:val="0"/>
      <w:sz w:val="20"/>
      <w:szCs w:val="20"/>
      <w:lang w:eastAsia="en-US"/>
    </w:rPr>
  </w:style>
  <w:style w:type="paragraph" w:styleId="17">
    <w:name w:val="List Paragraph"/>
    <w:basedOn w:val="1"/>
    <w:qFormat/>
    <w:uiPriority w:val="99"/>
    <w:pPr>
      <w:ind w:firstLine="420" w:firstLineChars="200"/>
    </w:pPr>
  </w:style>
  <w:style w:type="character" w:customStyle="1" w:styleId="18">
    <w:name w:val="Balloon Text Char"/>
    <w:basedOn w:val="10"/>
    <w:link w:val="5"/>
    <w:semiHidden/>
    <w:qFormat/>
    <w:locked/>
    <w:uiPriority w:val="99"/>
    <w:rPr>
      <w:rFonts w:ascii="Times New Roman" w:hAnsi="Times New Roman" w:eastAsia="宋体" w:cs="Times New Roman"/>
      <w:sz w:val="18"/>
      <w:szCs w:val="18"/>
    </w:rPr>
  </w:style>
  <w:style w:type="character" w:customStyle="1" w:styleId="19">
    <w:name w:val="Header Char"/>
    <w:basedOn w:val="10"/>
    <w:link w:val="7"/>
    <w:qFormat/>
    <w:locked/>
    <w:uiPriority w:val="99"/>
    <w:rPr>
      <w:rFonts w:ascii="Times New Roman" w:hAnsi="Times New Roman" w:eastAsia="宋体" w:cs="Times New Roman"/>
      <w:sz w:val="18"/>
      <w:szCs w:val="18"/>
    </w:rPr>
  </w:style>
  <w:style w:type="character" w:customStyle="1" w:styleId="20">
    <w:name w:val="Footer Char"/>
    <w:basedOn w:val="10"/>
    <w:link w:val="6"/>
    <w:qFormat/>
    <w:locked/>
    <w:uiPriority w:val="99"/>
    <w:rPr>
      <w:rFonts w:ascii="Times New Roman" w:hAnsi="Times New Roman" w:eastAsia="宋体" w:cs="Times New Roman"/>
      <w:sz w:val="18"/>
      <w:szCs w:val="18"/>
    </w:rPr>
  </w:style>
  <w:style w:type="character" w:customStyle="1" w:styleId="21">
    <w:name w:val="Comment Subject Char"/>
    <w:basedOn w:val="15"/>
    <w:link w:val="8"/>
    <w:semiHidden/>
    <w:qFormat/>
    <w:locked/>
    <w:uiPriority w:val="99"/>
    <w:rPr>
      <w:b/>
      <w:bCs/>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MS</Company>
  <Pages>7</Pages>
  <Words>523</Words>
  <Characters>2982</Characters>
  <Lines>0</Lines>
  <Paragraphs>0</Paragraphs>
  <TotalTime>75</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2020-10-14T00:38:00Z</dcterms:created>
  <dc:creator>未定义</dc:creator>
  <cp:lastModifiedBy>greatwall</cp:lastModifiedBy>
  <cp:lastPrinted>2021-07-02T02:58:00Z</cp:lastPrinted>
  <dcterms:modified xsi:type="dcterms:W3CDTF">2021-07-05T09:28:48Z</dcterms:modified>
  <dc:title>郑州市市级农业产业化经营</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