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ind w:firstLine="303" w:firstLineChars="1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303" w:firstLineChars="1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303" w:firstLineChars="1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303" w:firstLineChars="1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303" w:firstLineChars="1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303" w:firstLineChars="100"/>
        <w:textAlignment w:val="auto"/>
        <w:rPr>
          <w:rFonts w:ascii="楷体" w:hAnsi="楷体" w:eastAsia="楷体" w:cs="楷体"/>
          <w:sz w:val="32"/>
          <w:szCs w:val="32"/>
        </w:rPr>
      </w:pPr>
      <w:r>
        <w:rPr>
          <w:rFonts w:hint="eastAsia" w:ascii="仿宋" w:hAnsi="仿宋" w:eastAsia="仿宋" w:cs="仿宋"/>
          <w:sz w:val="32"/>
          <w:szCs w:val="32"/>
        </w:rPr>
        <w:t>郑体建字〔202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                   签发人:</w:t>
      </w:r>
      <w:r>
        <w:rPr>
          <w:rFonts w:hint="eastAsia" w:ascii="楷体" w:hAnsi="楷体" w:eastAsia="楷体" w:cs="楷体"/>
          <w:sz w:val="32"/>
          <w:szCs w:val="32"/>
          <w:lang w:eastAsia="zh-CN"/>
        </w:rPr>
        <w:t>李红轩</w:t>
      </w:r>
      <w:r>
        <w:rPr>
          <w:rFonts w:hint="eastAsia" w:ascii="楷体" w:hAnsi="楷体" w:eastAsia="楷体" w:cs="楷体"/>
          <w:sz w:val="32"/>
          <w:szCs w:val="32"/>
        </w:rPr>
        <w:t xml:space="preserve"> </w:t>
      </w: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对市十</w:t>
      </w:r>
      <w:r>
        <w:rPr>
          <w:rFonts w:hint="eastAsia" w:ascii="方正小标宋简体" w:hAnsi="方正小标宋简体" w:eastAsia="方正小标宋简体" w:cs="方正小标宋简体"/>
          <w:b w:val="0"/>
          <w:bCs/>
          <w:sz w:val="44"/>
          <w:szCs w:val="44"/>
          <w:lang w:eastAsia="zh-CN"/>
        </w:rPr>
        <w:t>五</w:t>
      </w:r>
      <w:r>
        <w:rPr>
          <w:rFonts w:hint="eastAsia" w:ascii="方正小标宋简体" w:hAnsi="方正小标宋简体" w:eastAsia="方正小标宋简体" w:cs="方正小标宋简体"/>
          <w:b w:val="0"/>
          <w:bCs/>
          <w:sz w:val="44"/>
          <w:szCs w:val="44"/>
        </w:rPr>
        <w:t>届</w:t>
      </w:r>
      <w:r>
        <w:rPr>
          <w:rFonts w:hint="eastAsia" w:ascii="方正小标宋简体" w:hAnsi="方正小标宋简体" w:eastAsia="方正小标宋简体" w:cs="方正小标宋简体"/>
          <w:b w:val="0"/>
          <w:bCs/>
          <w:sz w:val="44"/>
          <w:szCs w:val="44"/>
          <w:lang w:eastAsia="zh-CN"/>
        </w:rPr>
        <w:t>人大</w:t>
      </w:r>
      <w:r>
        <w:rPr>
          <w:rFonts w:hint="eastAsia" w:ascii="方正小标宋简体" w:hAnsi="方正小标宋简体" w:eastAsia="方正小标宋简体" w:cs="方正小标宋简体"/>
          <w:b w:val="0"/>
          <w:bCs/>
          <w:sz w:val="44"/>
          <w:szCs w:val="44"/>
          <w:lang w:val="en-US" w:eastAsia="zh-CN"/>
        </w:rPr>
        <w:t>四</w:t>
      </w:r>
      <w:r>
        <w:rPr>
          <w:rFonts w:hint="eastAsia" w:ascii="方正小标宋简体" w:hAnsi="方正小标宋简体" w:eastAsia="方正小标宋简体" w:cs="方正小标宋简体"/>
          <w:b w:val="0"/>
          <w:bCs/>
          <w:sz w:val="44"/>
          <w:szCs w:val="44"/>
        </w:rPr>
        <w:t>次会议</w:t>
      </w: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B（2021）063</w:t>
      </w:r>
      <w:r>
        <w:rPr>
          <w:rFonts w:hint="eastAsia" w:ascii="方正小标宋简体" w:hAnsi="方正小标宋简体" w:eastAsia="方正小标宋简体" w:cs="方正小标宋简体"/>
          <w:b w:val="0"/>
          <w:bCs/>
          <w:sz w:val="44"/>
          <w:szCs w:val="44"/>
        </w:rPr>
        <w:t>号</w:t>
      </w:r>
      <w:r>
        <w:rPr>
          <w:rFonts w:hint="default" w:ascii="方正小标宋简体" w:hAnsi="方正小标宋简体" w:eastAsia="方正小标宋简体" w:cs="方正小标宋简体"/>
          <w:b w:val="0"/>
          <w:bCs/>
          <w:sz w:val="44"/>
          <w:szCs w:val="44"/>
        </w:rPr>
        <w:t>建议</w:t>
      </w:r>
      <w:bookmarkStart w:id="0" w:name="_GoBack"/>
      <w:bookmarkEnd w:id="0"/>
      <w:r>
        <w:rPr>
          <w:rFonts w:hint="eastAsia" w:ascii="方正小标宋简体" w:hAnsi="方正小标宋简体" w:eastAsia="方正小标宋简体" w:cs="方正小标宋简体"/>
          <w:b w:val="0"/>
          <w:bCs/>
          <w:sz w:val="44"/>
          <w:szCs w:val="44"/>
        </w:rPr>
        <w:t>的答复</w:t>
      </w: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仿宋_GB2312" w:hAnsi="宋体" w:eastAsia="仿宋_GB2312"/>
          <w:b/>
          <w:sz w:val="36"/>
          <w:szCs w:val="36"/>
        </w:rPr>
      </w:pPr>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right="0" w:firstLine="0"/>
        <w:jc w:val="left"/>
        <w:textAlignment w:val="auto"/>
        <w:outlineLvl w:val="9"/>
        <w:rPr>
          <w:rFonts w:hint="eastAsia" w:ascii="仿宋" w:hAnsi="仿宋" w:eastAsia="仿宋" w:cs="仿宋"/>
          <w:b w:val="0"/>
          <w:i w:val="0"/>
          <w:color w:val="auto"/>
          <w:sz w:val="32"/>
          <w:szCs w:val="32"/>
          <w:shd w:val="clear" w:color="auto" w:fill="FFFFFF"/>
          <w:lang w:val="en-US" w:eastAsia="zh-CN"/>
        </w:rPr>
      </w:pPr>
      <w:r>
        <w:rPr>
          <w:rFonts w:hint="eastAsia" w:ascii="仿宋" w:hAnsi="仿宋" w:eastAsia="仿宋" w:cs="仿宋"/>
          <w:b w:val="0"/>
          <w:i w:val="0"/>
          <w:color w:val="auto"/>
          <w:sz w:val="32"/>
          <w:szCs w:val="32"/>
          <w:shd w:val="clear" w:color="auto" w:fill="FFFFFF"/>
          <w:lang w:val="en-US" w:eastAsia="zh-CN"/>
        </w:rPr>
        <w:t>尊敬的王瑞代表：</w:t>
      </w:r>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right="0" w:firstLine="606" w:firstLineChars="200"/>
        <w:jc w:val="left"/>
        <w:textAlignment w:val="auto"/>
        <w:outlineLvl w:val="9"/>
        <w:rPr>
          <w:rFonts w:hint="eastAsia" w:ascii="仿宋" w:hAnsi="仿宋" w:eastAsia="仿宋" w:cs="仿宋"/>
          <w:b w:val="0"/>
          <w:i w:val="0"/>
          <w:color w:val="auto"/>
          <w:sz w:val="32"/>
          <w:szCs w:val="32"/>
          <w:shd w:val="clear" w:color="auto" w:fill="FFFFFF"/>
          <w:lang w:val="en-US" w:eastAsia="zh-CN"/>
        </w:rPr>
      </w:pPr>
      <w:r>
        <w:rPr>
          <w:rFonts w:hint="eastAsia" w:ascii="仿宋" w:hAnsi="仿宋" w:eastAsia="仿宋" w:cs="仿宋"/>
          <w:b w:val="0"/>
          <w:i w:val="0"/>
          <w:color w:val="auto"/>
          <w:sz w:val="32"/>
          <w:szCs w:val="32"/>
          <w:shd w:val="clear" w:color="auto" w:fill="FFFFFF"/>
          <w:lang w:val="en-US" w:eastAsia="zh-CN"/>
        </w:rPr>
        <w:t>您提出的“关于发展电竞产业，成为电竞之城的建议”收悉。非常感谢您多年来对体育工作的关注和支持。您提案中所提出的各种问题说明您是经过调查研究和深思熟虑的，对您的工作态度在此表示由衷的敬佩。您的问题和建议，我们都虚心接受和认真研究，并积极努力办理，在今后工作中统筹加以落实。</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firstLine="48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一、电子竞技发展基本情况</w:t>
      </w:r>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right="0" w:firstLine="0"/>
        <w:jc w:val="left"/>
        <w:textAlignment w:val="auto"/>
        <w:outlineLvl w:val="9"/>
        <w:rPr>
          <w:rFonts w:hint="eastAsia" w:ascii="仿宋" w:hAnsi="仿宋" w:eastAsia="仿宋" w:cs="仿宋"/>
          <w:b w:val="0"/>
          <w:i w:val="0"/>
          <w:color w:val="auto"/>
          <w:sz w:val="32"/>
          <w:szCs w:val="32"/>
          <w:shd w:val="clear" w:color="auto" w:fill="FFFFFF"/>
          <w:lang w:val="en-US" w:eastAsia="zh-CN"/>
        </w:rPr>
      </w:pPr>
      <w:r>
        <w:rPr>
          <w:rFonts w:hint="eastAsia" w:ascii="仿宋" w:hAnsi="仿宋" w:eastAsia="仿宋" w:cs="仿宋"/>
          <w:b w:val="0"/>
          <w:i w:val="0"/>
          <w:color w:val="auto"/>
          <w:sz w:val="32"/>
          <w:szCs w:val="32"/>
          <w:shd w:val="clear" w:color="auto" w:fill="FFFFFF"/>
          <w:lang w:val="en-US" w:eastAsia="zh-CN"/>
        </w:rPr>
        <w:t xml:space="preserve">   （一）国内发展情况。</w:t>
      </w:r>
      <w:r>
        <w:rPr>
          <w:rFonts w:hint="eastAsia" w:ascii="仿宋" w:hAnsi="仿宋" w:eastAsia="仿宋" w:cs="仿宋"/>
          <w:b w:val="0"/>
          <w:i w:val="0"/>
          <w:color w:val="auto"/>
          <w:spacing w:val="-17"/>
          <w:sz w:val="32"/>
          <w:szCs w:val="32"/>
          <w:shd w:val="clear" w:color="auto" w:fill="FFFFFF"/>
          <w:lang w:val="en-US" w:eastAsia="zh-CN"/>
        </w:rPr>
        <w:t>近几年我国电子竞技</w:t>
      </w:r>
      <w:r>
        <w:rPr>
          <w:rFonts w:hint="eastAsia" w:ascii="仿宋" w:hAnsi="仿宋" w:eastAsia="仿宋" w:cs="仿宋"/>
          <w:b w:val="0"/>
          <w:i w:val="0"/>
          <w:color w:val="auto"/>
          <w:sz w:val="32"/>
          <w:szCs w:val="32"/>
          <w:shd w:val="clear" w:color="auto" w:fill="FFFFFF"/>
          <w:lang w:val="en-US" w:eastAsia="zh-CN"/>
        </w:rPr>
        <w:t>产业蓬勃发展</w:t>
      </w:r>
      <w:r>
        <w:rPr>
          <w:rFonts w:hint="eastAsia" w:ascii="仿宋" w:hAnsi="仿宋" w:eastAsia="仿宋" w:cs="仿宋"/>
          <w:b w:val="0"/>
          <w:i w:val="0"/>
          <w:color w:val="auto"/>
          <w:spacing w:val="-17"/>
          <w:sz w:val="32"/>
          <w:szCs w:val="32"/>
          <w:shd w:val="clear" w:color="auto" w:fill="FFFFFF"/>
          <w:lang w:val="en-US" w:eastAsia="zh-CN"/>
        </w:rPr>
        <w:t>，2009年，</w:t>
      </w:r>
      <w:r>
        <w:rPr>
          <w:rFonts w:hint="eastAsia" w:ascii="仿宋" w:hAnsi="仿宋" w:eastAsia="仿宋" w:cs="仿宋"/>
          <w:b w:val="0"/>
          <w:i w:val="0"/>
          <w:color w:val="auto"/>
          <w:sz w:val="32"/>
          <w:szCs w:val="32"/>
          <w:shd w:val="clear" w:color="auto" w:fill="FFFFFF"/>
          <w:lang w:val="en-US" w:eastAsia="zh-CN"/>
        </w:rPr>
        <w:t>成都市承接WCG世界总决赛，开始布局电竞</w:t>
      </w:r>
      <w:r>
        <w:rPr>
          <w:rFonts w:hint="eastAsia" w:ascii="仿宋" w:hAnsi="仿宋" w:eastAsia="仿宋" w:cs="仿宋"/>
          <w:b w:val="0"/>
          <w:i w:val="0"/>
          <w:color w:val="auto"/>
          <w:spacing w:val="-17"/>
          <w:sz w:val="32"/>
          <w:szCs w:val="32"/>
          <w:shd w:val="clear" w:color="auto" w:fill="FFFFFF"/>
          <w:lang w:val="en-US" w:eastAsia="zh-CN"/>
        </w:rPr>
        <w:t>和游戏产业发展，2020年</w:t>
      </w:r>
      <w:r>
        <w:rPr>
          <w:rFonts w:hint="eastAsia" w:ascii="仿宋" w:hAnsi="仿宋" w:eastAsia="仿宋" w:cs="仿宋"/>
          <w:b w:val="0"/>
          <w:i w:val="0"/>
          <w:color w:val="auto"/>
          <w:sz w:val="32"/>
          <w:szCs w:val="32"/>
          <w:shd w:val="clear" w:color="auto" w:fill="FFFFFF"/>
          <w:lang w:val="en-US" w:eastAsia="zh-CN"/>
        </w:rPr>
        <w:t>仅天美工作室就完成销售约656亿元，为当地政府带来了可观的收益。特别是在近几年，成都市政府推出了更多的优惠政策和资金支持促进电竞产业的发展。目前国内上海、成都、杭州、武汉、西安、海南等地区，均推出了相应的政策及优厚的资金支持作为配套，着手打造</w:t>
      </w:r>
      <w:r>
        <w:rPr>
          <w:rFonts w:hint="eastAsia" w:ascii="仿宋" w:hAnsi="仿宋" w:eastAsia="仿宋" w:cs="仿宋"/>
          <w:b w:val="0"/>
          <w:i w:val="0"/>
          <w:color w:val="auto"/>
          <w:spacing w:val="-17"/>
          <w:sz w:val="32"/>
          <w:szCs w:val="32"/>
          <w:shd w:val="clear" w:color="auto" w:fill="FFFFFF"/>
          <w:lang w:val="en-US" w:eastAsia="zh-CN"/>
        </w:rPr>
        <w:t>“电竞之城”的</w:t>
      </w:r>
      <w:r>
        <w:rPr>
          <w:rFonts w:hint="eastAsia" w:ascii="仿宋" w:hAnsi="仿宋" w:eastAsia="仿宋" w:cs="仿宋"/>
          <w:b w:val="0"/>
          <w:i w:val="0"/>
          <w:color w:val="auto"/>
          <w:sz w:val="32"/>
          <w:szCs w:val="32"/>
          <w:shd w:val="clear" w:color="auto" w:fill="FFFFFF"/>
          <w:lang w:val="en-US" w:eastAsia="zh-CN"/>
        </w:rPr>
        <w:t>概念。上海市政府更是连续两年承接了DOTA2的TI系列赛和英雄联盟的S系列赛全球总决赛，吸引了全球数十亿人的目光。电竞已经成为当前40岁以下的人群生活中必不可少的元素，其正在融合与之相关的游戏、动漫、影视、综艺等产业多头并进的快速发展。</w:t>
      </w:r>
    </w:p>
    <w:p>
      <w:pPr>
        <w:keepNext w:val="0"/>
        <w:keepLines w:val="0"/>
        <w:pageBreakBefore w:val="0"/>
        <w:widowControl w:val="0"/>
        <w:shd w:val="solid" w:color="FFFFFF" w:fill="auto"/>
        <w:kinsoku/>
        <w:wordWrap/>
        <w:overflowPunct/>
        <w:topLinePunct w:val="0"/>
        <w:autoSpaceDE/>
        <w:autoSpaceDN w:val="0"/>
        <w:bidi w:val="0"/>
        <w:adjustRightInd/>
        <w:snapToGrid w:val="0"/>
        <w:spacing w:line="560" w:lineRule="exact"/>
        <w:ind w:left="0" w:leftChars="0" w:right="0" w:firstLine="606" w:firstLineChars="200"/>
        <w:jc w:val="left"/>
        <w:textAlignment w:val="auto"/>
        <w:outlineLvl w:val="9"/>
        <w:rPr>
          <w:rFonts w:hint="eastAsia" w:ascii="仿宋" w:hAnsi="仿宋" w:eastAsia="仿宋" w:cs="仿宋"/>
          <w:b w:val="0"/>
          <w:i w:val="0"/>
          <w:color w:val="auto"/>
          <w:sz w:val="32"/>
          <w:szCs w:val="32"/>
          <w:shd w:val="clear" w:color="auto" w:fill="FFFFFF"/>
          <w:lang w:val="en-US" w:eastAsia="zh-CN"/>
        </w:rPr>
      </w:pPr>
      <w:r>
        <w:rPr>
          <w:rFonts w:hint="eastAsia" w:ascii="仿宋" w:hAnsi="仿宋" w:eastAsia="仿宋" w:cs="仿宋"/>
          <w:b w:val="0"/>
          <w:i w:val="0"/>
          <w:color w:val="auto"/>
          <w:sz w:val="32"/>
          <w:szCs w:val="32"/>
          <w:shd w:val="clear" w:color="auto" w:fill="FFFFFF"/>
          <w:lang w:val="en-US" w:eastAsia="zh-CN"/>
        </w:rPr>
        <w:t>(二)省市发展情况。我省电竞发展起步较早，自上世纪90年代末开始，加之人口众多，在全国是名副其实的电竞大省，为国内电竞的发展孕育了大量的人才先后出现过SP、HOME、东方、汉宫等一批优秀俱乐部。但由于经济、相关教育资源等相关原因，我省目前并没有涌现出电子竞技及其相关产业的头部企业，没有良好的经济基础作为支撑，所以虽在国内多次取得过非常优异的成绩却仅仅是昙花一现。郑州作为省会城市，在我省内的电竞发展中起到了举足轻重的作用。近几年先后举办了CFPL、逆战、王者荣耀冬冠联赛等全国大赛和HECL全省联赛、中部六省电竞论坛等赛事和活动，目前相较与国内电竞发展发达的地区，郑州电竞行业发展相对较为平稳，赛事活动、行业标准化建设均在稳步的发展之中。</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firstLine="48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二、今后工作思路</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firstLine="48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（一）吸取上海、成都等地发展经验，结合我市实际情况， 以2022年杭州亚运会为契机，布局我市电子竞技产业发展。从政策配套、产业资金等方面支持“电竞中心”建设，以优惠政策引进国内优秀俱乐部主场，逐步塑造我市电竞产业名片，将电竞消费场景从线上引流至线下实体，在国内首先实现线上引流线下消费的产业链闭环。</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firstLine="48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支持国际品牌赛事引进，营造电竞氛围，充分发挥郑州国际交通枢纽门户、对外开放体系高地和参与国际合作高地作用,促进国际、国内知名电竞赛事的重点场次和活动在郑州举办，利用知名赛事的传播力宣传河南郑州体育、文化、旅游、经济发展，形成电竞城市品牌效应，提高国际知名度，助推郑州国家中心城市建设。培育自主IP赛事发展，将我市丰富的传统文化融入赛事当中，培育观众群体和独特的项目文化，扩大本土赛事竞争力。为进一步推动电子竞技运动开展，为广大爱好者提供展现电子竞技水平的平台，今年8月份拟举办郑州市首届电子竞技公开赛，目前各项工作正在积极筹备中。</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firstLine="48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加大人才培养力度，发挥行业协会作用，为目前开设和即将开设电竞专业的高校、高职、中职院校提供咨询服务和人才支持，研究制定人才培养标准。加快电竞游戏研发、俱乐部教培体系建设、网络直播视听作品创作等人才培养，以孵化器和相关优惠政策支持该类人才创业，布局我市未来产业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firstLine="48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根据体育类民办非企业单位登记审查与管理暂行办法等相关法律法规，支持专业电子竞技俱乐部建设，从职业俱乐部孵化、加速人才培养、项目培训、预防青少年沉迷等各方面推动我市电子竞技产业发展，打造行业新业态。</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firstLine="48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再次感谢您对体育工作的关注和厚爱，希望今后能继续得到您的支持和帮助。谢谢！ </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firstLine="480"/>
        <w:jc w:val="left"/>
        <w:textAlignment w:val="auto"/>
        <w:outlineLvl w:val="9"/>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bidi w:val="0"/>
        <w:adjustRightInd/>
        <w:spacing w:line="560" w:lineRule="exact"/>
        <w:textAlignment w:val="auto"/>
        <w:rPr>
          <w:rFonts w:hint="eastAsia"/>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firstLine="48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tabs>
          <w:tab w:val="left" w:pos="5598"/>
        </w:tabs>
        <w:kinsoku/>
        <w:wordWrap/>
        <w:overflowPunct/>
        <w:topLinePunct w:val="0"/>
        <w:autoSpaceDE/>
        <w:bidi w:val="0"/>
        <w:adjustRightInd/>
        <w:spacing w:line="560" w:lineRule="exact"/>
        <w:ind w:right="298"/>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Cs/>
          <w:color w:val="auto"/>
          <w:sz w:val="32"/>
          <w:szCs w:val="32"/>
          <w:lang w:val="en-US" w:eastAsia="zh-CN"/>
        </w:rPr>
        <w:t xml:space="preserve">     2021年6月25日</w:t>
      </w:r>
    </w:p>
    <w:p>
      <w:pPr>
        <w:keepNext w:val="0"/>
        <w:keepLines w:val="0"/>
        <w:pageBreakBefore w:val="0"/>
        <w:widowControl w:val="0"/>
        <w:tabs>
          <w:tab w:val="left" w:pos="5598"/>
        </w:tabs>
        <w:kinsoku/>
        <w:wordWrap/>
        <w:overflowPunct/>
        <w:topLinePunct w:val="0"/>
        <w:autoSpaceDE/>
        <w:bidi w:val="0"/>
        <w:adjustRightInd/>
        <w:spacing w:line="560" w:lineRule="exact"/>
        <w:ind w:right="298"/>
        <w:jc w:val="both"/>
        <w:textAlignment w:val="auto"/>
        <w:rPr>
          <w:rFonts w:hint="eastAsia" w:ascii="仿宋" w:hAnsi="仿宋" w:eastAsia="仿宋" w:cs="仿宋"/>
          <w:bCs/>
          <w:color w:val="auto"/>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firstLine="48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firstLine="480"/>
        <w:jc w:val="left"/>
        <w:textAlignment w:val="auto"/>
        <w:outlineLvl w:val="9"/>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bidi w:val="0"/>
        <w:adjustRightIn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bidi w:val="0"/>
        <w:adjustRightIn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bidi w:val="0"/>
        <w:adjustRightIn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bidi w:val="0"/>
        <w:adjustRightIn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bidi w:val="0"/>
        <w:adjustRightIn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bidi w:val="0"/>
        <w:adjustRightIn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bidi w:val="0"/>
        <w:adjustRightIn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bidi w:val="0"/>
        <w:adjustRightIn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联系单位：郑州市体育局       邮    编：450000</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联 系 人：李俊慧             联系电话：67887191</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抄    送：市政府督查室、市人大选工委</w:t>
      </w:r>
    </w:p>
    <w:tbl>
      <w:tblPr>
        <w:tblStyle w:val="6"/>
        <w:tblpPr w:vertAnchor="page" w:horzAnchor="page" w:tblpX="1619" w:tblpY="14122"/>
        <w:tblW w:w="8822"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690"/>
        <w:gridCol w:w="4132"/>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96" w:hRule="atLeast"/>
        </w:trPr>
        <w:tc>
          <w:tcPr>
            <w:tcW w:w="4690" w:type="dxa"/>
            <w:tcBorders>
              <w:top w:val="single" w:color="auto" w:sz="12" w:space="0"/>
              <w:left w:val="nil"/>
              <w:bottom w:val="single" w:color="auto" w:sz="12" w:space="0"/>
              <w:right w:val="nil"/>
            </w:tcBorders>
            <w:noWrap w:val="0"/>
            <w:vAlign w:val="top"/>
          </w:tcPr>
          <w:p>
            <w:pPr>
              <w:keepNext w:val="0"/>
              <w:keepLines w:val="0"/>
              <w:pageBreakBefore w:val="0"/>
              <w:widowControl w:val="0"/>
              <w:tabs>
                <w:tab w:val="left" w:pos="5598"/>
              </w:tabs>
              <w:kinsoku/>
              <w:wordWrap/>
              <w:overflowPunct/>
              <w:topLinePunct w:val="0"/>
              <w:autoSpaceDE/>
              <w:autoSpaceDN/>
              <w:bidi w:val="0"/>
              <w:adjustRightInd/>
              <w:snapToGrid/>
              <w:spacing w:line="500" w:lineRule="exact"/>
              <w:ind w:firstLine="258" w:firstLineChars="98"/>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郑州市体育局</w:t>
            </w:r>
            <w:r>
              <w:rPr>
                <w:rFonts w:hint="eastAsia" w:ascii="仿宋" w:hAnsi="仿宋" w:eastAsia="仿宋" w:cs="仿宋"/>
                <w:bCs/>
                <w:color w:val="auto"/>
                <w:sz w:val="28"/>
                <w:szCs w:val="28"/>
                <w:lang w:eastAsia="zh-CN"/>
              </w:rPr>
              <w:t>办公室</w:t>
            </w:r>
          </w:p>
        </w:tc>
        <w:tc>
          <w:tcPr>
            <w:tcW w:w="4132" w:type="dxa"/>
            <w:tcBorders>
              <w:top w:val="single" w:color="auto" w:sz="12" w:space="0"/>
              <w:left w:val="nil"/>
              <w:bottom w:val="single" w:color="auto" w:sz="12" w:space="0"/>
              <w:right w:val="nil"/>
            </w:tcBorders>
            <w:noWrap w:val="0"/>
            <w:vAlign w:val="top"/>
          </w:tcPr>
          <w:p>
            <w:pPr>
              <w:keepNext w:val="0"/>
              <w:keepLines w:val="0"/>
              <w:pageBreakBefore w:val="0"/>
              <w:widowControl w:val="0"/>
              <w:tabs>
                <w:tab w:val="left" w:pos="5598"/>
              </w:tabs>
              <w:kinsoku/>
              <w:wordWrap/>
              <w:overflowPunct/>
              <w:topLinePunct w:val="0"/>
              <w:autoSpaceDE/>
              <w:autoSpaceDN/>
              <w:bidi w:val="0"/>
              <w:adjustRightInd/>
              <w:snapToGrid/>
              <w:spacing w:line="500" w:lineRule="exact"/>
              <w:ind w:right="298"/>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 xml:space="preserve">         </w:t>
            </w:r>
            <w:r>
              <w:rPr>
                <w:rFonts w:hint="eastAsia" w:ascii="仿宋" w:hAnsi="仿宋" w:eastAsia="仿宋" w:cs="仿宋"/>
                <w:bCs/>
                <w:color w:val="auto"/>
                <w:sz w:val="28"/>
                <w:szCs w:val="28"/>
              </w:rPr>
              <w:t>20</w:t>
            </w:r>
            <w:r>
              <w:rPr>
                <w:rFonts w:hint="eastAsia" w:ascii="仿宋" w:hAnsi="仿宋" w:eastAsia="仿宋" w:cs="仿宋"/>
                <w:bCs/>
                <w:color w:val="auto"/>
                <w:sz w:val="28"/>
                <w:szCs w:val="28"/>
                <w:lang w:val="en-US" w:eastAsia="zh-CN"/>
              </w:rPr>
              <w:t>21</w:t>
            </w:r>
            <w:r>
              <w:rPr>
                <w:rFonts w:hint="eastAsia" w:ascii="仿宋" w:hAnsi="仿宋" w:eastAsia="仿宋" w:cs="仿宋"/>
                <w:bCs/>
                <w:color w:val="auto"/>
                <w:sz w:val="28"/>
                <w:szCs w:val="28"/>
              </w:rPr>
              <w:t>年</w:t>
            </w:r>
            <w:r>
              <w:rPr>
                <w:rFonts w:hint="eastAsia" w:ascii="仿宋" w:hAnsi="仿宋" w:eastAsia="仿宋" w:cs="仿宋"/>
                <w:bCs/>
                <w:color w:val="auto"/>
                <w:sz w:val="28"/>
                <w:szCs w:val="28"/>
                <w:lang w:val="en-US" w:eastAsia="zh-CN"/>
              </w:rPr>
              <w:t>6</w:t>
            </w:r>
            <w:r>
              <w:rPr>
                <w:rFonts w:hint="eastAsia" w:ascii="仿宋" w:hAnsi="仿宋" w:eastAsia="仿宋" w:cs="仿宋"/>
                <w:bCs/>
                <w:color w:val="auto"/>
                <w:sz w:val="28"/>
                <w:szCs w:val="28"/>
              </w:rPr>
              <w:t>月</w:t>
            </w:r>
            <w:r>
              <w:rPr>
                <w:rFonts w:hint="eastAsia" w:ascii="仿宋" w:hAnsi="仿宋" w:eastAsia="仿宋" w:cs="仿宋"/>
                <w:bCs/>
                <w:color w:val="auto"/>
                <w:sz w:val="28"/>
                <w:szCs w:val="28"/>
                <w:lang w:val="en-US" w:eastAsia="zh-CN"/>
              </w:rPr>
              <w:t>25</w:t>
            </w:r>
            <w:r>
              <w:rPr>
                <w:rFonts w:hint="eastAsia" w:ascii="仿宋" w:hAnsi="仿宋" w:eastAsia="仿宋" w:cs="仿宋"/>
                <w:bCs/>
                <w:color w:val="auto"/>
                <w:sz w:val="28"/>
                <w:szCs w:val="28"/>
              </w:rPr>
              <w:t>日印发</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right="0"/>
        <w:jc w:val="left"/>
        <w:textAlignment w:val="auto"/>
        <w:outlineLvl w:val="9"/>
        <w:rPr>
          <w:rFonts w:hint="eastAsia" w:ascii="仿宋" w:hAnsi="仿宋" w:eastAsia="仿宋" w:cs="仿宋"/>
          <w:sz w:val="32"/>
          <w:szCs w:val="32"/>
          <w:lang w:val="en-US" w:eastAsia="zh-CN"/>
        </w:rPr>
      </w:pPr>
    </w:p>
    <w:sectPr>
      <w:footerReference r:id="rId3" w:type="default"/>
      <w:footerReference r:id="rId4" w:type="even"/>
      <w:pgSz w:w="11906" w:h="16838"/>
      <w:pgMar w:top="2098" w:right="1474" w:bottom="1984" w:left="1587" w:header="851" w:footer="992" w:gutter="0"/>
      <w:pgNumType w:fmt="numberInDash"/>
      <w:cols w:space="0" w:num="1"/>
      <w:rtlGutter w:val="0"/>
      <w:docGrid w:type="linesAndChars" w:linePitch="574" w:charSpace="-36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Batang">
    <w:altName w:val="方正书宋_GBK"/>
    <w:panose1 w:val="02030600000101010101"/>
    <w:charset w:val="81"/>
    <w:family w:val="auto"/>
    <w:pitch w:val="default"/>
    <w:sig w:usb0="00000000" w:usb1="00000000" w:usb2="00000030" w:usb3="00000000" w:csb0="4008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4"/>
        <w:lang w:val="en-US" w:eastAsia="zh-CN" w:bidi="ar-SA"/>
      </w:rPr>
      <w:pict>
        <v:shape id="_x0000_s4097" o:spid="_x0000_s4097" o:spt="202" type="#_x0000_t202" style="position:absolute;left:0pt;margin-left:388.9pt;margin-top:-1.1pt;height:144pt;width:144p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pP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t>- 1 -</w:t>
                </w:r>
                <w:r>
                  <w:rPr>
                    <w:rFonts w:hint="eastAsia" w:ascii="Batang" w:hAnsi="Batang" w:eastAsia="Batang" w:cs="Batang"/>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4"/>
        <w:lang w:val="en-US" w:eastAsia="zh-CN" w:bidi="ar-SA"/>
      </w:rPr>
      <w:pict>
        <v:shape id="_x0000_s4098" o:spid="_x0000_s4098" o:spt="202" type="#_x0000_t202" style="position:absolute;left:0pt;margin-left:14.8pt;margin-top:0pt;height:144pt;width:144pt;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pP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t>- 2 -</w:t>
                </w:r>
                <w:r>
                  <w:rPr>
                    <w:rFonts w:hint="eastAsia" w:ascii="Batang" w:hAnsi="Batang" w:eastAsia="Batang" w:cs="Batang"/>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96"/>
  <w:drawingGridVerticalSpacing w:val="287"/>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C75D66"/>
    <w:rsid w:val="08142627"/>
    <w:rsid w:val="102D721A"/>
    <w:rsid w:val="12FB1246"/>
    <w:rsid w:val="13BE5FD8"/>
    <w:rsid w:val="17283995"/>
    <w:rsid w:val="17D640E5"/>
    <w:rsid w:val="195E07EE"/>
    <w:rsid w:val="1EB226F1"/>
    <w:rsid w:val="20C2748D"/>
    <w:rsid w:val="23244422"/>
    <w:rsid w:val="280E4479"/>
    <w:rsid w:val="2A785D46"/>
    <w:rsid w:val="308C49D6"/>
    <w:rsid w:val="32782FF5"/>
    <w:rsid w:val="355717FF"/>
    <w:rsid w:val="36434D21"/>
    <w:rsid w:val="365F0EBF"/>
    <w:rsid w:val="3AD76156"/>
    <w:rsid w:val="3E5A57C7"/>
    <w:rsid w:val="3F66751D"/>
    <w:rsid w:val="3FF85D2D"/>
    <w:rsid w:val="43980784"/>
    <w:rsid w:val="46374C6B"/>
    <w:rsid w:val="48481213"/>
    <w:rsid w:val="4F5A0D7D"/>
    <w:rsid w:val="52556874"/>
    <w:rsid w:val="581F5C16"/>
    <w:rsid w:val="590129F6"/>
    <w:rsid w:val="5EF86CE7"/>
    <w:rsid w:val="643A36C4"/>
    <w:rsid w:val="66520B23"/>
    <w:rsid w:val="6A9953C1"/>
    <w:rsid w:val="6AFA77DC"/>
    <w:rsid w:val="6D8C00B7"/>
    <w:rsid w:val="6F5F1BC8"/>
    <w:rsid w:val="754A7A04"/>
    <w:rsid w:val="78C374F8"/>
    <w:rsid w:val="79580E70"/>
    <w:rsid w:val="79E84D97"/>
    <w:rsid w:val="7A4D50CC"/>
    <w:rsid w:val="7A527266"/>
    <w:rsid w:val="7DA63DD6"/>
    <w:rsid w:val="7EF313A5"/>
    <w:rsid w:val="CBFF95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rPr>
  </w:style>
  <w:style w:type="character" w:default="1" w:styleId="7">
    <w:name w:val="Default Paragraph Font"/>
    <w:semiHidden/>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napToGrid w:val="0"/>
      <w:spacing w:line="420" w:lineRule="atLeast"/>
    </w:pPr>
    <w:rPr>
      <w:rFonts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333333"/>
      <w:u w:val="none"/>
    </w:rPr>
  </w:style>
  <w:style w:type="character" w:styleId="9">
    <w:name w:val="Emphasis"/>
    <w:basedOn w:val="7"/>
    <w:qFormat/>
    <w:uiPriority w:val="0"/>
    <w:rPr>
      <w:i/>
    </w:rPr>
  </w:style>
  <w:style w:type="character" w:styleId="10">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1559</Words>
  <Characters>1618</Characters>
  <Lines>0</Lines>
  <Paragraphs>0</Paragraphs>
  <TotalTime>7</TotalTime>
  <ScaleCrop>false</ScaleCrop>
  <LinksUpToDate>false</LinksUpToDate>
  <CharactersWithSpaces>1718</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2021-03-02T21:40:00Z</dcterms:created>
  <dc:creator>猛将兄</dc:creator>
  <cp:lastModifiedBy>greatwall</cp:lastModifiedBy>
  <cp:lastPrinted>2021-06-17T16:16:00Z</cp:lastPrinted>
  <dcterms:modified xsi:type="dcterms:W3CDTF">2021-09-28T16:28:16Z</dcterms:modified>
  <dc:title>对市十五届人大四次会议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BDDB0225471E43D39F115EE921977C2A</vt:lpwstr>
  </property>
</Properties>
</file>