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提案编号</w:t>
            </w:r>
          </w:p>
        </w:tc>
        <w:tc>
          <w:tcPr>
            <w:tcW w:w="7102" w:type="dxa"/>
            <w:gridSpan w:val="5"/>
            <w:vAlign w:val="center"/>
          </w:tcPr>
          <w:p>
            <w:r>
              <w:t>20200453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创建日期</w:t>
            </w:r>
          </w:p>
        </w:tc>
        <w:tc>
          <w:tcPr>
            <w:tcW w:w="1420" w:type="dxa"/>
            <w:vAlign w:val="center"/>
          </w:tcPr>
          <w:p>
            <w:r>
              <w:t>2020-05-12</w:t>
            </w:r>
          </w:p>
        </w:tc>
        <w:tc>
          <w:tcPr>
            <w:tcW w:w="1420" w:type="dxa"/>
            <w:vAlign w:val="center"/>
          </w:tcPr>
          <w:p>
            <w:pPr>
              <w:spacing w:line="360" w:lineRule="auto"/>
              <w:rPr>
                <w:sz w:val="22"/>
              </w:rPr>
            </w:pPr>
            <w:r>
              <w:rPr>
                <w:rFonts w:hint="eastAsia"/>
                <w:sz w:val="22"/>
              </w:rPr>
              <w:t>提交时间</w:t>
            </w:r>
          </w:p>
        </w:tc>
        <w:tc>
          <w:tcPr>
            <w:tcW w:w="1420" w:type="dxa"/>
            <w:vAlign w:val="center"/>
          </w:tcPr>
          <w:p>
            <w:r>
              <w:t>2020-05-12</w:t>
            </w:r>
          </w:p>
        </w:tc>
        <w:tc>
          <w:tcPr>
            <w:tcW w:w="1421" w:type="dxa"/>
            <w:vAlign w:val="center"/>
          </w:tcPr>
          <w:p>
            <w:pPr>
              <w:spacing w:line="360" w:lineRule="auto"/>
              <w:rPr>
                <w:sz w:val="22"/>
              </w:rPr>
            </w:pPr>
            <w:r>
              <w:rPr>
                <w:rFonts w:hint="eastAsia"/>
                <w:sz w:val="22"/>
              </w:rPr>
              <w:t>公开类型</w:t>
            </w:r>
          </w:p>
        </w:tc>
        <w:tc>
          <w:tcPr>
            <w:tcW w:w="1421" w:type="dxa"/>
            <w:vAlign w:val="center"/>
          </w:tcPr>
          <w:p>
            <w: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提案分类</w:t>
            </w:r>
          </w:p>
        </w:tc>
        <w:tc>
          <w:tcPr>
            <w:tcW w:w="1420" w:type="dxa"/>
            <w:vAlign w:val="center"/>
          </w:tcPr>
          <w:p>
            <w:r>
              <w:t>个人提案</w:t>
            </w:r>
          </w:p>
        </w:tc>
        <w:tc>
          <w:tcPr>
            <w:tcW w:w="1420" w:type="dxa"/>
            <w:vAlign w:val="center"/>
          </w:tcPr>
          <w:p>
            <w:pPr>
              <w:spacing w:line="360" w:lineRule="auto"/>
              <w:rPr>
                <w:sz w:val="22"/>
              </w:rPr>
            </w:pPr>
            <w:r>
              <w:rPr>
                <w:rFonts w:hint="eastAsia"/>
                <w:sz w:val="22"/>
              </w:rPr>
              <w:t>提案类型</w:t>
            </w:r>
          </w:p>
        </w:tc>
        <w:tc>
          <w:tcPr>
            <w:tcW w:w="1420" w:type="dxa"/>
            <w:vAlign w:val="center"/>
          </w:tcPr>
          <w:p>
            <w:r>
              <w:t>生态</w:t>
            </w:r>
          </w:p>
        </w:tc>
        <w:tc>
          <w:tcPr>
            <w:tcW w:w="1421" w:type="dxa"/>
            <w:vAlign w:val="center"/>
          </w:tcPr>
          <w:p>
            <w:pPr>
              <w:spacing w:line="360" w:lineRule="auto"/>
              <w:rPr>
                <w:sz w:val="22"/>
              </w:rPr>
            </w:pPr>
            <w:r>
              <w:rPr>
                <w:rFonts w:hint="eastAsia"/>
                <w:sz w:val="22"/>
              </w:rPr>
              <w:t>会议类型</w:t>
            </w:r>
          </w:p>
        </w:tc>
        <w:tc>
          <w:tcPr>
            <w:tcW w:w="1421" w:type="dxa"/>
            <w:vAlign w:val="center"/>
          </w:tcPr>
          <w:p>
            <w:r>
              <w:t>大会提案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撰写人</w:t>
            </w:r>
          </w:p>
        </w:tc>
        <w:tc>
          <w:tcPr>
            <w:tcW w:w="1420" w:type="dxa"/>
            <w:vAlign w:val="center"/>
          </w:tcPr>
          <w:p>
            <w:r>
              <w:t>沈立承</w:t>
            </w:r>
          </w:p>
        </w:tc>
        <w:tc>
          <w:tcPr>
            <w:tcW w:w="1420" w:type="dxa"/>
            <w:vAlign w:val="center"/>
          </w:tcPr>
          <w:p>
            <w:pPr>
              <w:spacing w:line="360" w:lineRule="auto"/>
              <w:rPr>
                <w:sz w:val="22"/>
              </w:rPr>
            </w:pPr>
            <w:r>
              <w:rPr>
                <w:rFonts w:hint="eastAsia"/>
                <w:sz w:val="22"/>
              </w:rPr>
              <w:t>界别</w:t>
            </w:r>
          </w:p>
        </w:tc>
        <w:tc>
          <w:tcPr>
            <w:tcW w:w="1420" w:type="dxa"/>
            <w:vAlign w:val="center"/>
          </w:tcPr>
          <w:p>
            <w:r>
              <w:t>民建</w:t>
            </w:r>
          </w:p>
        </w:tc>
        <w:tc>
          <w:tcPr>
            <w:tcW w:w="1421" w:type="dxa"/>
            <w:vAlign w:val="center"/>
          </w:tcPr>
          <w:p>
            <w:pPr>
              <w:spacing w:line="360" w:lineRule="auto"/>
              <w:rPr>
                <w:sz w:val="22"/>
              </w:rPr>
            </w:pPr>
            <w:r>
              <w:rPr>
                <w:rFonts w:hint="eastAsia"/>
                <w:sz w:val="22"/>
              </w:rPr>
              <w:t>届次</w:t>
            </w:r>
          </w:p>
        </w:tc>
        <w:tc>
          <w:tcPr>
            <w:tcW w:w="1421" w:type="dxa"/>
            <w:vAlign w:val="center"/>
          </w:tcPr>
          <w:p>
            <w:r>
              <w:t>十四届三次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rFonts w:hint="eastAsia" w:eastAsiaTheme="minorEastAsia"/>
                <w:sz w:val="22"/>
                <w:lang w:val="en-US" w:eastAsia="zh-CN"/>
              </w:rPr>
            </w:pPr>
            <w:r>
              <w:rPr>
                <w:rFonts w:hint="eastAsia"/>
                <w:sz w:val="22"/>
                <w:lang w:val="en-US" w:eastAsia="zh-CN"/>
              </w:rPr>
              <w:t>联系电话</w:t>
            </w:r>
          </w:p>
        </w:tc>
        <w:tc>
          <w:tcPr>
            <w:tcW w:w="1420" w:type="dxa"/>
            <w:vAlign w:val="center"/>
          </w:tcPr>
          <w:p>
            <w:r>
              <w:t>13949111195</w:t>
            </w:r>
          </w:p>
        </w:tc>
        <w:tc>
          <w:tcPr>
            <w:tcW w:w="1420" w:type="dxa"/>
            <w:vAlign w:val="center"/>
          </w:tcPr>
          <w:p>
            <w:pPr>
              <w:spacing w:line="360" w:lineRule="auto"/>
              <w:rPr>
                <w:rFonts w:hint="eastAsia" w:eastAsiaTheme="minorEastAsia"/>
                <w:sz w:val="22"/>
                <w:lang w:val="en-US" w:eastAsia="zh-CN"/>
              </w:rPr>
            </w:pPr>
            <w:r>
              <w:rPr>
                <w:rFonts w:hint="eastAsia"/>
                <w:sz w:val="22"/>
                <w:lang w:val="en-US" w:eastAsia="zh-CN"/>
              </w:rPr>
              <w:t>通讯地址</w:t>
            </w:r>
          </w:p>
        </w:tc>
        <w:tc>
          <w:tcPr>
            <w:tcW w:w="1420" w:type="dxa"/>
            <w:vAlign w:val="center"/>
          </w:tcPr>
          <w:p>
            <w:r>
              <w:t>郑州市北二七路76号7016房间</w:t>
            </w:r>
          </w:p>
        </w:tc>
        <w:tc>
          <w:tcPr>
            <w:tcW w:w="1421" w:type="dxa"/>
            <w:vAlign w:val="center"/>
          </w:tcPr>
          <w:p>
            <w:pPr>
              <w:spacing w:line="360" w:lineRule="auto"/>
              <w:rPr>
                <w:rFonts w:hint="eastAsia" w:eastAsiaTheme="minorEastAsia"/>
                <w:sz w:val="22"/>
                <w:lang w:val="en-US" w:eastAsia="zh-CN"/>
              </w:rPr>
            </w:pPr>
            <w:r>
              <w:rPr>
                <w:rFonts w:hint="eastAsia"/>
                <w:sz w:val="22"/>
                <w:lang w:val="en-US" w:eastAsia="zh-CN"/>
              </w:rPr>
              <w:t>邮编</w:t>
            </w:r>
          </w:p>
        </w:tc>
        <w:tc>
          <w:tcPr>
            <w:tcW w:w="1421" w:type="dxa"/>
            <w:vAlign w:val="center"/>
          </w:tcPr>
          <w:p>
            <w:r>
              <w:t>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联名委员</w:t>
            </w:r>
          </w:p>
        </w:tc>
        <w:tc>
          <w:tcPr>
            <w:tcW w:w="7102"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承办单位</w:t>
            </w:r>
          </w:p>
        </w:tc>
        <w:tc>
          <w:tcPr>
            <w:tcW w:w="7102" w:type="dxa"/>
            <w:gridSpan w:val="5"/>
            <w:vAlign w:val="center"/>
          </w:tcPr>
          <w:p>
            <w:r>
              <w:t>【主办】郑州市水利局</w:t>
            </w:r>
          </w:p>
        </w:tc>
      </w:tr>
    </w:tbl>
    <w:p/>
    <w:p>
      <w:pPr>
        <w:jc w:val="center"/>
      </w:pPr>
      <w:r>
        <w:rPr>
          <w:b/>
          <w:sz w:val="40"/>
        </w:rPr>
        <w:t>关于平衡郑州引黄水量 优化城市生态水系的建议</w:t>
      </w:r>
    </w:p>
    <w:p>
      <w:r>
        <w:rPr>
          <w:sz w:val="28"/>
        </w:rPr>
        <w:t xml:space="preserve">    一、郑州市生态水系建设现状</w:t>
      </w:r>
    </w:p>
    <w:p>
      <w:r>
        <w:rPr>
          <w:sz w:val="28"/>
        </w:rPr>
        <w:t xml:space="preserve">    2006年，郑州市启动了生态水系的规划和建设，并将其列入郑州跨越式发展八大工程和重大建设项目。2007年12月14日，郑州市十二届人大常委会第32次会议通过了《郑州市生态水系规划》，该规划把生态水系建设纳入了郑州市社会经济发展长期规划和年度基本建设计划当中，全力推进，打造水域郑州。</w:t>
      </w:r>
    </w:p>
    <w:p>
      <w:r>
        <w:rPr>
          <w:sz w:val="28"/>
        </w:rPr>
        <w:t xml:space="preserve">    2010年4月，历经四年多的规划建设，郑州市生态水系建设取得了阶段性成果，黄河水经过输水工程提升分管道注入各条河的源头，该生态水系囊括郑州市区周边12条河渠、12座水库、3个湖泊、两块湿地。项目累计投入资金14.4亿元，对市区的14段主要河渠进行了生态治理，治理长度达到108.3公里。</w:t>
      </w:r>
    </w:p>
    <w:p>
      <w:r>
        <w:rPr>
          <w:sz w:val="28"/>
        </w:rPr>
        <w:t xml:space="preserve">    二、引黄水量分配不平衡，欠缺对生态供水的考虑</w:t>
      </w:r>
    </w:p>
    <w:p>
      <w:r>
        <w:rPr>
          <w:sz w:val="28"/>
        </w:rPr>
        <w:t xml:space="preserve">    2009年6月27日，《河南省人民政府关于批转河南省黄河取水许可总量控制指标细化方案的通知》（豫政〔2009〕46号）公布了《河南省黄河取水许可总量控制指标细化方案》，该方案由河南省水利厅编制，该方案对黄河的引水指标作了分配，其中：</w:t>
      </w:r>
    </w:p>
    <w:p>
      <w:r>
        <w:rPr>
          <w:sz w:val="28"/>
        </w:rPr>
        <w:t xml:space="preserve">    郑州市:取水许可指标4.2亿立方米，耗水指标3.9亿立方米；</w:t>
      </w:r>
    </w:p>
    <w:p>
      <w:r>
        <w:rPr>
          <w:sz w:val="28"/>
        </w:rPr>
        <w:t xml:space="preserve">    开封市:取水许可指标5.5亿立方米，耗水指标5.5亿立方米；</w:t>
      </w:r>
    </w:p>
    <w:p>
      <w:r>
        <w:rPr>
          <w:sz w:val="28"/>
        </w:rPr>
        <w:t xml:space="preserve">    新乡市:取水许可指标10.37亿立方米，耗水指标8.9亿立方米；</w:t>
      </w:r>
    </w:p>
    <w:p>
      <w:r>
        <w:rPr>
          <w:sz w:val="28"/>
        </w:rPr>
        <w:t xml:space="preserve">    濮阳市:取水许可指标8.42亿立方米，耗水指标6.78亿立方米；</w:t>
      </w:r>
    </w:p>
    <w:p>
      <w:r>
        <w:rPr>
          <w:sz w:val="28"/>
        </w:rPr>
        <w:t xml:space="preserve">    根据郑州市水利局统计，2000至2005年间，郑州市实际年平均引水量仅为2亿立方米左右，仅占批准取水许可量的32%。这意味着，其间每年有4亿多立方米的引水指标因利用不足而流失。</w:t>
      </w:r>
    </w:p>
    <w:p>
      <w:r>
        <w:rPr>
          <w:sz w:val="28"/>
        </w:rPr>
        <w:t xml:space="preserve">    根据2010年经国务院批准实施的《郑州市城市总体规划（2010—2020年）》，至2020年，郑州市域总人口将达1245万人，城镇人口1025万人，中心城区城市人口610万人。至2020年，中心城区城市建设用地控制在583平方千米，主城区城市建设用地控制在420平方千米。依据郑州市水利局的评估，预计2020年，郑州市预计总用水量将达21.06亿立方，市区缺水量将达2亿立方。</w:t>
      </w:r>
    </w:p>
    <w:p>
      <w:r>
        <w:rPr>
          <w:sz w:val="28"/>
        </w:rPr>
        <w:t xml:space="preserve">    随着郑州市建设国家中心城市的发展，城市人口将进一步增长，城市面积将逐步扩大，城市发展与城市生态的矛盾将更加凸显，引黄入郑，提高郑州市的水环境，对提升郑州整体生态环境至关重要。</w:t>
      </w:r>
    </w:p>
    <w:p>
      <w:r>
        <w:rPr>
          <w:sz w:val="28"/>
        </w:rPr>
        <w:t xml:space="preserve">    三、建议</w:t>
      </w:r>
    </w:p>
    <w:p>
      <w:r>
        <w:rPr>
          <w:sz w:val="28"/>
        </w:rPr>
        <w:t xml:space="preserve">    2019年9月18日上午，习</w:t>
      </w:r>
      <w:r>
        <w:rPr>
          <w:rFonts w:hint="eastAsia"/>
          <w:sz w:val="28"/>
          <w:lang w:eastAsia="zh-CN"/>
        </w:rPr>
        <w:t>近平</w:t>
      </w:r>
      <w:r>
        <w:rPr>
          <w:sz w:val="28"/>
        </w:rPr>
        <w:t>总书记在郑州主持召开了黄河流域生态保护和高质量发展座谈会并发表重要讲话，习</w:t>
      </w:r>
      <w:r>
        <w:rPr>
          <w:rFonts w:hint="eastAsia"/>
          <w:sz w:val="28"/>
          <w:lang w:eastAsia="zh-CN"/>
        </w:rPr>
        <w:t>近平</w:t>
      </w:r>
      <w:bookmarkStart w:id="0" w:name="_GoBack"/>
      <w:bookmarkEnd w:id="0"/>
      <w:r>
        <w:rPr>
          <w:sz w:val="28"/>
        </w:rPr>
        <w:t>总书记强调了黄河流域生态保护的艰巨性、复杂性 、重要性，强调了要“以水而定、量水而行”。</w:t>
      </w:r>
    </w:p>
    <w:p>
      <w:r>
        <w:rPr>
          <w:sz w:val="28"/>
        </w:rPr>
        <w:t xml:space="preserve">    为了进一步提高郑州市水资源的利用率，进一步改善郑州市的生态环境，进一步有效提升郑州的城市形象和人居环境，为此建议：</w:t>
      </w:r>
    </w:p>
    <w:p>
      <w:r>
        <w:rPr>
          <w:sz w:val="28"/>
        </w:rPr>
        <w:t xml:space="preserve">    1.郑州市积极与河南省水利厅、河南省政府协调，结合各地发展的实际情况，将生态用水作为水资源分配的因素，对河南省各地市引黄水量进行科学评估，</w:t>
      </w:r>
    </w:p>
    <w:p>
      <w:r>
        <w:rPr>
          <w:sz w:val="28"/>
        </w:rPr>
        <w:t xml:space="preserve">    2.郑州市应充分利用现有政策下的供水量，加大城市生态供水力度，并积极与河南省水利厅、河南省政府协调，在河南省引黄总量不变的基础上，平衡其他地级市的水量，增加郑州市的引水量。</w:t>
      </w:r>
    </w:p>
    <w:p>
      <w:r>
        <w:rPr>
          <w:sz w:val="28"/>
        </w:rPr>
        <w:t xml:space="preserve">    3.在郑州市现有生态水系基础上，优化、加强郑州市生态水系的建设，提高生态补水的利用率。</w:t>
      </w:r>
    </w:p>
    <w:p>
      <w:r>
        <w:rPr>
          <w:sz w:val="28"/>
        </w:rPr>
        <w:t xml:space="preserve">    4.提高城市污水治理能力，将城市中水补充城市生态用水或工业用水。</w:t>
      </w:r>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002"/>
    <w:rsid w:val="000D46B0"/>
    <w:rsid w:val="000F3F84"/>
    <w:rsid w:val="00124638"/>
    <w:rsid w:val="001F4915"/>
    <w:rsid w:val="0024154D"/>
    <w:rsid w:val="002978EC"/>
    <w:rsid w:val="002C4EDF"/>
    <w:rsid w:val="002E29BF"/>
    <w:rsid w:val="002F6DCF"/>
    <w:rsid w:val="00507047"/>
    <w:rsid w:val="0055143F"/>
    <w:rsid w:val="005B30BF"/>
    <w:rsid w:val="00611EE0"/>
    <w:rsid w:val="007D07E1"/>
    <w:rsid w:val="00801F14"/>
    <w:rsid w:val="00817002"/>
    <w:rsid w:val="008F080C"/>
    <w:rsid w:val="00913344"/>
    <w:rsid w:val="009365E2"/>
    <w:rsid w:val="00942C2A"/>
    <w:rsid w:val="009B1617"/>
    <w:rsid w:val="009C04FB"/>
    <w:rsid w:val="009D0BAD"/>
    <w:rsid w:val="00A040D5"/>
    <w:rsid w:val="00BA0B33"/>
    <w:rsid w:val="00C80A1F"/>
    <w:rsid w:val="00D35A13"/>
    <w:rsid w:val="00D62514"/>
    <w:rsid w:val="00D73491"/>
    <w:rsid w:val="00D766DA"/>
    <w:rsid w:val="00E02810"/>
    <w:rsid w:val="00EC027C"/>
    <w:rsid w:val="00EE7224"/>
    <w:rsid w:val="017626A4"/>
    <w:rsid w:val="148654A2"/>
    <w:rsid w:val="1780190D"/>
    <w:rsid w:val="22837325"/>
    <w:rsid w:val="2D86610C"/>
    <w:rsid w:val="2E741EA0"/>
    <w:rsid w:val="3C011E0F"/>
    <w:rsid w:val="4481768A"/>
    <w:rsid w:val="53C15647"/>
    <w:rsid w:val="5AF61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0"/>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 w:type="character" w:customStyle="1" w:styleId="10">
    <w:name w:val="HTML 预设格式 Char"/>
    <w:basedOn w:val="5"/>
    <w:link w:val="4"/>
    <w:semiHidden/>
    <w:qFormat/>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64</Words>
  <Characters>369</Characters>
  <Lines>3</Lines>
  <Paragraphs>1</Paragraphs>
  <TotalTime>34</TotalTime>
  <ScaleCrop>false</ScaleCrop>
  <LinksUpToDate>false</LinksUpToDate>
  <CharactersWithSpaces>432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2018-04-11T07:21:00Z</dcterms:created>
  <dc:creator>13407</dc:creator>
  <cp:lastModifiedBy>123456</cp:lastModifiedBy>
  <dcterms:modified xsi:type="dcterms:W3CDTF">2021-04-25T00:59:24Z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