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xsi="http://www.w3.org/2001/XMLSchema-instance"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提案编号</w:t>
            </w:r>
          </w:p>
        </w:tc>
        <w:tc>
          <w:tcPr>
            <w:tcW w:w="7102" w:type="dxa"/>
            <w:gridSpan w:val="5"/>
            <w:vAlign w:val="center"/>
          </w:tcPr>
          <w:p>
            <w:r>
              <w:t>20210531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创建日期</w:t>
            </w:r>
          </w:p>
        </w:tc>
        <w:tc>
          <w:tcPr>
            <w:tcW w:w="1420" w:type="dxa"/>
            <w:vAlign w:val="center"/>
          </w:tcPr>
          <w:p>
            <w:r>
              <w:t>2021-01-26</w:t>
            </w:r>
          </w:p>
        </w:tc>
        <w:tc>
          <w:tcPr>
            <w:tcW w:w="1420" w:type="dxa"/>
            <w:vAlign w:val="center"/>
          </w:tcPr>
          <w:p>
            <w:pPr>
              <w:spacing w:line="360" w:lineRule="auto"/>
              <w:rPr>
                <w:sz w:val="22"/>
              </w:rPr>
            </w:pPr>
            <w:r>
              <w:rPr>
                <w:rFonts w:hint="eastAsia"/>
                <w:sz w:val="22"/>
              </w:rPr>
              <w:t>提交时间</w:t>
            </w:r>
          </w:p>
        </w:tc>
        <w:tc>
          <w:tcPr>
            <w:tcW w:w="1420" w:type="dxa"/>
            <w:vAlign w:val="center"/>
          </w:tcPr>
          <w:p>
            <w:r>
              <w:t>2021-01-26</w:t>
            </w:r>
          </w:p>
        </w:tc>
        <w:tc>
          <w:tcPr>
            <w:tcW w:w="1421" w:type="dxa"/>
            <w:vAlign w:val="center"/>
          </w:tcPr>
          <w:p>
            <w:pPr>
              <w:spacing w:line="360" w:lineRule="auto"/>
              <w:rPr>
                <w:sz w:val="22"/>
              </w:rPr>
            </w:pPr>
            <w:r>
              <w:rPr>
                <w:rFonts w:hint="eastAsia"/>
                <w:sz w:val="22"/>
              </w:rPr>
              <w:t>公开类型</w:t>
            </w:r>
          </w:p>
        </w:tc>
        <w:tc>
          <w:tcPr>
            <w:tcW w:w="1421" w:type="dxa"/>
            <w:vAlign w:val="center"/>
          </w:tcPr>
          <w:p>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提案分类</w:t>
            </w:r>
          </w:p>
        </w:tc>
        <w:tc>
          <w:tcPr>
            <w:tcW w:w="1420" w:type="dxa"/>
            <w:vAlign w:val="center"/>
          </w:tcPr>
          <w:p>
            <w:r>
              <w:t>个人提案</w:t>
            </w:r>
          </w:p>
        </w:tc>
        <w:tc>
          <w:tcPr>
            <w:tcW w:w="1420" w:type="dxa"/>
            <w:vAlign w:val="center"/>
          </w:tcPr>
          <w:p>
            <w:pPr>
              <w:spacing w:line="360" w:lineRule="auto"/>
              <w:rPr>
                <w:sz w:val="22"/>
              </w:rPr>
            </w:pPr>
            <w:r>
              <w:rPr>
                <w:rFonts w:hint="eastAsia"/>
                <w:sz w:val="22"/>
              </w:rPr>
              <w:t>提案类型</w:t>
            </w:r>
          </w:p>
        </w:tc>
        <w:tc>
          <w:tcPr>
            <w:tcW w:w="1420" w:type="dxa"/>
            <w:vAlign w:val="center"/>
          </w:tcPr>
          <w:p>
            <w:r>
              <w:t>社会</w:t>
            </w:r>
          </w:p>
        </w:tc>
        <w:tc>
          <w:tcPr>
            <w:tcW w:w="1421" w:type="dxa"/>
            <w:vAlign w:val="center"/>
          </w:tcPr>
          <w:p>
            <w:pPr>
              <w:spacing w:line="360" w:lineRule="auto"/>
              <w:rPr>
                <w:sz w:val="22"/>
              </w:rPr>
            </w:pPr>
            <w:r>
              <w:rPr>
                <w:rFonts w:hint="eastAsia"/>
                <w:sz w:val="22"/>
              </w:rPr>
              <w:t>会议类型</w:t>
            </w:r>
          </w:p>
        </w:tc>
        <w:tc>
          <w:tcPr>
            <w:tcW w:w="1421" w:type="dxa"/>
            <w:vAlign w:val="center"/>
          </w:tcPr>
          <w:p>
            <w:r>
              <w:t>大会提案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撰写人</w:t>
            </w:r>
          </w:p>
        </w:tc>
        <w:tc>
          <w:tcPr>
            <w:tcW w:w="1420" w:type="dxa"/>
            <w:vAlign w:val="center"/>
          </w:tcPr>
          <w:p>
            <w:r>
              <w:t>梁远森</w:t>
            </w:r>
          </w:p>
        </w:tc>
        <w:tc>
          <w:tcPr>
            <w:tcW w:w="1420" w:type="dxa"/>
            <w:vAlign w:val="center"/>
          </w:tcPr>
          <w:p>
            <w:pPr>
              <w:spacing w:line="360" w:lineRule="auto"/>
              <w:rPr>
                <w:sz w:val="22"/>
              </w:rPr>
            </w:pPr>
            <w:r>
              <w:rPr>
                <w:rFonts w:hint="eastAsia"/>
                <w:sz w:val="22"/>
              </w:rPr>
              <w:t>界别</w:t>
            </w:r>
          </w:p>
        </w:tc>
        <w:tc>
          <w:tcPr>
            <w:tcW w:w="1420" w:type="dxa"/>
            <w:vAlign w:val="center"/>
          </w:tcPr>
          <w:p>
            <w:r>
              <w:t>民革</w:t>
            </w:r>
          </w:p>
        </w:tc>
        <w:tc>
          <w:tcPr>
            <w:tcW w:w="1421" w:type="dxa"/>
            <w:vAlign w:val="center"/>
          </w:tcPr>
          <w:p>
            <w:pPr>
              <w:spacing w:line="360" w:lineRule="auto"/>
              <w:rPr>
                <w:sz w:val="22"/>
              </w:rPr>
            </w:pPr>
            <w:r>
              <w:rPr>
                <w:rFonts w:hint="eastAsia"/>
                <w:sz w:val="22"/>
              </w:rPr>
              <w:t>届次</w:t>
            </w:r>
          </w:p>
        </w:tc>
        <w:tc>
          <w:tcPr>
            <w:tcW w:w="1421" w:type="dxa"/>
            <w:vAlign w:val="center"/>
          </w:tcPr>
          <w:p>
            <w:r>
              <w:t>十四届四次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rFonts w:hint="eastAsia" w:eastAsiaTheme="minorEastAsia"/>
                <w:sz w:val="22"/>
                <w:lang w:val="en-US" w:eastAsia="zh-CN"/>
              </w:rPr>
            </w:pPr>
            <w:r>
              <w:rPr>
                <w:rFonts w:hint="eastAsia"/>
                <w:sz w:val="22"/>
                <w:lang w:val="en-US" w:eastAsia="zh-CN"/>
              </w:rPr>
              <w:t>联系电话</w:t>
            </w:r>
          </w:p>
        </w:tc>
        <w:tc>
          <w:tcPr>
            <w:tcW w:w="1420" w:type="dxa"/>
            <w:vAlign w:val="center"/>
          </w:tcPr>
          <w:p>
            <w:r>
              <w:t>15936266789</w:t>
            </w:r>
          </w:p>
        </w:tc>
        <w:tc>
          <w:tcPr>
            <w:tcW w:w="1420" w:type="dxa"/>
            <w:vAlign w:val="center"/>
          </w:tcPr>
          <w:p>
            <w:pPr>
              <w:spacing w:line="360" w:lineRule="auto"/>
              <w:rPr>
                <w:rFonts w:hint="eastAsia" w:eastAsiaTheme="minorEastAsia"/>
                <w:sz w:val="22"/>
                <w:lang w:val="en-US" w:eastAsia="zh-CN"/>
              </w:rPr>
            </w:pPr>
            <w:r>
              <w:rPr>
                <w:rFonts w:hint="eastAsia"/>
                <w:sz w:val="22"/>
                <w:lang w:val="en-US" w:eastAsia="zh-CN"/>
              </w:rPr>
              <w:t>通讯地址</w:t>
            </w:r>
          </w:p>
        </w:tc>
        <w:tc>
          <w:tcPr>
            <w:tcW w:w="1420" w:type="dxa"/>
            <w:vAlign w:val="center"/>
          </w:tcPr>
          <w:p>
            <w:r>
              <w:t xml:space="preserve"> 郑州市颖河路110号</w:t>
            </w:r>
          </w:p>
        </w:tc>
        <w:tc>
          <w:tcPr>
            <w:tcW w:w="1421" w:type="dxa"/>
            <w:vAlign w:val="center"/>
          </w:tcPr>
          <w:p>
            <w:pPr>
              <w:spacing w:line="360" w:lineRule="auto"/>
              <w:rPr>
                <w:rFonts w:hint="eastAsia" w:eastAsiaTheme="minorEastAsia"/>
                <w:sz w:val="22"/>
                <w:lang w:val="en-US" w:eastAsia="zh-CN"/>
              </w:rPr>
            </w:pPr>
            <w:r>
              <w:rPr>
                <w:rFonts w:hint="eastAsia"/>
                <w:sz w:val="22"/>
                <w:lang w:val="en-US" w:eastAsia="zh-CN"/>
              </w:rPr>
              <w:t>邮编</w:t>
            </w:r>
          </w:p>
        </w:tc>
        <w:tc>
          <w:tcPr>
            <w:tcW w:w="1421" w:type="dxa"/>
            <w:vAlign w:val="center"/>
          </w:tcPr>
          <w:p>
            <w:r>
              <w:t>450006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联名委员</w:t>
            </w:r>
          </w:p>
        </w:tc>
        <w:tc>
          <w:tcPr>
            <w:tcW w:w="7102" w:type="dxa"/>
            <w:gridSpan w:val="5"/>
            <w:vAlign w:val="center"/>
          </w:tcPr>
          <w:p>
            <w:r>
              <w:t xsi:nil="tru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承办单位</w:t>
            </w:r>
          </w:p>
        </w:tc>
        <w:tc>
          <w:tcPr>
            <w:tcW w:w="7102" w:type="dxa"/>
            <w:gridSpan w:val="5"/>
            <w:vAlign w:val="center"/>
          </w:tcPr>
          <w:p>
            <w:r>
              <w:t>【主办】郑州市水利局</w:t>
            </w:r>
          </w:p>
        </w:tc>
      </w:tr>
    </w:tbl>
    <w:p/>
    <w:p>
      <w:pPr>
        <w:jc w:val="center"/>
      </w:pPr>
      <w:r>
        <w:rPr>
          <w:b w:val="true"/>
          <w:sz w:val="40"/>
        </w:rPr>
        <w:t>关于对接乡村振兴 出台我市农村供水 “四化”支持政策的提案</w:t>
      </w:r>
    </w:p>
    <w:p>
      <w:r>
        <w:rPr>
          <w:sz w:val="28"/>
        </w:rPr>
        <w:t xml:space="preserve">    &amp;nbsp;为充分利用当地和外调水地表水源，加快遏制地下水超量开采，深入推进地下水置换工作，进一步提升农村供水保障水平，实现城乡供水同标准、同保障、同服务，促进乡村振兴、城乡融合发展，去年7月我省先期在濮阳、平顶山和21个县开展农村供水“规模化、市场化、水源地表化、城乡一体化”试点工作。我市巩义、新郑、登封、中牟和荥阳5县（市）纳入全省农村供水“四化”试点县。按照试点要求，利用现有水厂进行管网延伸或新建水厂并已开工建设的试点县，今年年底前要完成集中式地下水水源置换；需新建水厂或新建跨县引调水工程的试点县，明年年底前全部完成集中式地下水水源置换。地表化工程覆盖辖区内70%以上的人口。</w:t>
      </w:r>
    </w:p>
    <w:p>
      <w:r>
        <w:rPr>
          <w:sz w:val="28"/>
        </w:rPr>
        <w:t xml:space="preserve">    一、必须高度正视农村供水保障存在的问题</w:t>
      </w:r>
    </w:p>
    <w:p>
      <w:r>
        <w:rPr>
          <w:sz w:val="28"/>
        </w:rPr>
        <w:t xml:space="preserve">    郑州市委市政府高度重视农村饮水安全工作。通过“十一五”到“十三五”十五年的不懈努力，全市建成农村集中供水工程1255处，其中千吨万人规模供水工程49处，农村集中供水覆盖人口330.91万人，农村集中供水率达到99.4%、自来水普及率达到96.2%。但是还存在一些明显的短板和弱项。</w:t>
      </w:r>
    </w:p>
    <w:p>
      <w:r>
        <w:rPr>
          <w:sz w:val="28"/>
        </w:rPr>
        <w:t xml:space="preserve">    一是地下水超采问题依然突出。地下水是农村供水的主水源，全市浅层地下水超采面积781平方公里；深层承压水超采面积2155平方公里，其中严重超采区面积达762平方公里；岩溶水严重超采区面积达2388平方公里。</w:t>
      </w:r>
    </w:p>
    <w:p>
      <w:r>
        <w:rPr>
          <w:sz w:val="28"/>
        </w:rPr>
        <w:t xml:space="preserve">    二是农村供水规模化程度低。我市规模化供水工程仅占农村集中供水工程总数的4%。</w:t>
      </w:r>
    </w:p>
    <w:p>
      <w:r>
        <w:rPr>
          <w:sz w:val="28"/>
        </w:rPr>
        <w:t xml:space="preserve">    三是供水保障不稳定。特别是小型单村集中供水工程存在先天不足，已满足不了乡村振兴和农村人居环境改善用水需求。</w:t>
      </w:r>
    </w:p>
    <w:p>
      <w:r>
        <w:rPr>
          <w:sz w:val="28"/>
        </w:rPr>
        <w:t xml:space="preserve">    四是运行管理长效机制不完善。管护主体不明确，管护能力不足，停水断水问题时有发生。</w:t>
      </w:r>
    </w:p>
    <w:p>
      <w:r>
        <w:rPr>
          <w:sz w:val="28"/>
        </w:rPr>
        <w:t xml:space="preserve">    二、进一步明确农村供水“四化”工作重点
 &amp;nbsp; &amp;nbsp; &amp;nbsp;</w:t>
      </w:r>
    </w:p>
    <w:p>
      <w:r>
        <w:rPr>
          <w:sz w:val="28"/>
        </w:rPr>
        <w:t xml:space="preserve">    党的十九届五中全会和中央农村工作会议就实现巩固拓展脱贫攻坚成果同乡村振兴有效衔接作出了重大部署，提出了推进城乡基本公共服务均等化、县域内城乡融合发展等民生保障普惠性政策。
开展农村供水“四化”工作，必须坚持践行人民至上理念，坚持与实施乡村振兴战略有效衔接，推动农村供水基础设施提档升级；必须坚持推进城乡融合发展，实现城乡统筹、以城带乡、城乡供水一体，补齐全面小康“三农”短板、落实“六稳”“六保”。要以问题为导向，聚焦解决农村供水规模化程度低、水源不稳定、工程老化、运行管护薄弱等问题，按照“大水源、大水网、大水务”工作思路，对标农村供水管理“自动化、精细化、信息化”三项标准，坚持“规模化、市场化、水源地表化、城乡一体化”四化方向，探索建立“合并集中、产权明晰、合理定价、市场运作、政府补贴”五项建管长效机制，建立“从源头到龙头”的农村供水工程建设和运行管护体系，进一步优化农村供水格局，巩固和拓展脱贫攻坚成果，提高农村供水可持续保障能力。</w:t>
      </w:r>
    </w:p>
    <w:p>
      <w:r>
        <w:rPr>
          <w:sz w:val="28"/>
        </w:rPr>
        <w:t xml:space="preserve">    三、加大力度，强力推进农村供水“四化”工作
 &amp;nbsp; &amp;nbsp; &amp;nbsp; &amp;nbsp;</w:t>
      </w:r>
    </w:p>
    <w:p>
      <w:r>
        <w:rPr>
          <w:sz w:val="28"/>
        </w:rPr>
        <w:t xml:space="preserve">    去年11月19日，国务院第七次大督查通报表扬了水利厅、濮阳市“探索供水四化新路径，保障农村饮水安全”典型经验做法，为我市推进农村供水“四化”工作提供了示范引领。县政府主要负责人是农村供水地表化工作的第一责任人，要通过政府高水平干预，破解农村供水低水平循环难题；通过市场运作，创新投融资模式，打通建设、运营、管护各环节，构建符合农村特点的运行管护体系；通过完善水价形成机制，按照补偿成本、合理收益、优质优价、公平负担的原则合理确定水价；通过水费征收和运行维护费用补偿等措施，保障工程长效运行；通过城乡一体化供水，以城补乡，解决农村居民用水供水成本居高的问题。</w:t>
      </w:r>
    </w:p>
    <w:p>
      <w:r>
        <w:rPr>
          <w:sz w:val="28"/>
        </w:rPr>
        <w:t xml:space="preserve">    四、建议
 &amp;nbsp; &amp;nbsp; &amp;nbsp;</w:t>
      </w:r>
    </w:p>
    <w:p>
      <w:r>
        <w:rPr>
          <w:sz w:val="28"/>
        </w:rPr>
        <w:t xml:space="preserve">    纳入省级农村供水“四化”试点的5个县，初步 估算总投资55.3亿元，其中政府投资27亿元，发行债券和其他融资28.3亿元。供水水源以南水北调水、黄河干流水、陆浑西水东引等为主水源，地下水作为备用水源。鉴于目前中央和省级财政暂无农村供水“四化”试点专项资金投入和相关补助，为此建议：郑州市作为省会城市和建设国家中心城市，郑州市财政部门应出台政策，加大财政资金支持力度，并在发行债券和融资等方面予以政策支持，强力推进郑州农村供水“四化”试点工作，进一步巩固提升脱贫攻坚成果，助力乡村振兴扎实推进，使郑州市农村供水“四化”工作方面走在全省前列，位于全国的前茅。</w:t>
      </w: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2"/>
    <w:rsid w:val="000D46B0"/>
    <w:rsid w:val="000F3F84"/>
    <w:rsid w:val="00124638"/>
    <w:rsid w:val="001F4915"/>
    <w:rsid w:val="0024154D"/>
    <w:rsid w:val="002978EC"/>
    <w:rsid w:val="002C4EDF"/>
    <w:rsid w:val="002E29BF"/>
    <w:rsid w:val="002F6DCF"/>
    <w:rsid w:val="00507047"/>
    <w:rsid w:val="0055143F"/>
    <w:rsid w:val="005B30BF"/>
    <w:rsid w:val="00611EE0"/>
    <w:rsid w:val="007D07E1"/>
    <w:rsid w:val="00801F14"/>
    <w:rsid w:val="00817002"/>
    <w:rsid w:val="008F080C"/>
    <w:rsid w:val="00913344"/>
    <w:rsid w:val="009365E2"/>
    <w:rsid w:val="00942C2A"/>
    <w:rsid w:val="009B1617"/>
    <w:rsid w:val="009C04FB"/>
    <w:rsid w:val="009D0BAD"/>
    <w:rsid w:val="00A040D5"/>
    <w:rsid w:val="00BA0B33"/>
    <w:rsid w:val="00C80A1F"/>
    <w:rsid w:val="00D35A13"/>
    <w:rsid w:val="00D62514"/>
    <w:rsid w:val="00D73491"/>
    <w:rsid w:val="00D766DA"/>
    <w:rsid w:val="00E02810"/>
    <w:rsid w:val="00EC027C"/>
    <w:rsid w:val="00EE7224"/>
    <w:rsid w:val="148654A2"/>
    <w:rsid w:val="1780190D"/>
    <w:rsid w:val="22837325"/>
    <w:rsid w:val="2E741EA0"/>
    <w:rsid w:val="3C011E0F"/>
    <w:rsid w:val="4481768A"/>
    <w:rsid w:val="53C15647"/>
    <w:rsid w:val="5AF6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 w:type="character" w:customStyle="1" w:styleId="10">
    <w:name w:val="HTML 预设格式 Char"/>
    <w:basedOn w:val="5"/>
    <w:link w:val="4"/>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theme/theme1.xml" Type="http://schemas.openxmlformats.org/officeDocument/2006/relationships/theme"/>
<Relationship Id="rId4" Target="../customXml/item1.xml" Type="http://schemas.openxmlformats.org/officeDocument/2006/relationships/customXml"/>
<Relationship Id="rId5"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Words>
  <Characters>369</Characters>
  <Lines>3</Lines>
  <Paragraphs>1</Paragraphs>
  <TotalTime>34</TotalTime>
  <ScaleCrop>false</ScaleCrop>
  <LinksUpToDate>false</LinksUpToDate>
  <CharactersWithSpaces>432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2018-04-11T07:21:00Z</dcterms:created>
  <dc:creator>13407</dc:creator>
  <cp:lastModifiedBy>Lenovo</cp:lastModifiedBy>
  <dcterms:modified xsi:type="dcterms:W3CDTF">2018-10-12T01:12:56Z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