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CFFCC"/>
  <w:body>
    <w:p>
      <w:pPr>
        <w:spacing w:line="540" w:lineRule="exact"/>
        <w:jc w:val="center"/>
        <w:rPr>
          <w:rFonts w:ascii="新宋体" w:hAnsi="新宋体" w:eastAsia="新宋体" w:cs="新宋体"/>
          <w:sz w:val="44"/>
          <w:szCs w:val="44"/>
        </w:rPr>
      </w:pPr>
      <w:r>
        <w:rPr>
          <w:rFonts w:hint="eastAsia" w:ascii="新宋体" w:hAnsi="新宋体" w:eastAsia="新宋体" w:cs="新宋体"/>
          <w:sz w:val="44"/>
          <w:szCs w:val="44"/>
        </w:rPr>
        <w:t>郑州市文化广电新闻出版局</w:t>
      </w:r>
    </w:p>
    <w:p>
      <w:pPr>
        <w:spacing w:line="540" w:lineRule="exact"/>
        <w:jc w:val="center"/>
        <w:rPr>
          <w:rFonts w:ascii="仿宋_GB2312" w:hAnsi="仿宋_GB2312" w:eastAsia="仿宋_GB2312" w:cs="仿宋_GB2312"/>
          <w:sz w:val="32"/>
          <w:szCs w:val="32"/>
        </w:rPr>
      </w:pPr>
      <w:r>
        <w:rPr>
          <w:rFonts w:hint="eastAsia" w:ascii="新宋体" w:hAnsi="新宋体" w:eastAsia="新宋体" w:cs="新宋体"/>
          <w:sz w:val="44"/>
          <w:szCs w:val="44"/>
        </w:rPr>
        <w:t>2016年工作总结及2017年工作计划</w:t>
      </w:r>
    </w:p>
    <w:p>
      <w:pPr>
        <w:spacing w:line="540" w:lineRule="exact"/>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2016年是“十三五”规划的开局之年。一年来，市文广新局紧紧围绕市委、市政府关于文化建设的决策部署，认识把握引领新常态，研究谋划实施新举措，扎实开展文化、广电、新闻出版各项工作，大大提升了郑州文化的传播力、影响力和辐射力，为国际商都和国家中心城市建设做出了积极贡献。2016年7月，我局被省文化厅、省人社局联合表彰为全省文化系统先进集体。</w:t>
      </w:r>
    </w:p>
    <w:p>
      <w:pPr>
        <w:spacing w:line="54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一、2016年工作总结</w:t>
      </w:r>
    </w:p>
    <w:p>
      <w:pPr>
        <w:spacing w:line="540" w:lineRule="exact"/>
        <w:ind w:firstLine="640"/>
        <w:rPr>
          <w:rFonts w:ascii="楷体" w:hAnsi="楷体" w:eastAsia="楷体" w:cs="楷体"/>
          <w:sz w:val="32"/>
          <w:szCs w:val="32"/>
        </w:rPr>
      </w:pPr>
      <w:r>
        <w:rPr>
          <w:rFonts w:hint="eastAsia" w:ascii="楷体" w:hAnsi="楷体" w:eastAsia="楷体" w:cs="楷体"/>
          <w:sz w:val="32"/>
          <w:szCs w:val="32"/>
        </w:rPr>
        <w:t>（一）贯彻落实中央、省、市文件精神，现代公共文化服务体系建设步伐加快</w:t>
      </w:r>
    </w:p>
    <w:p>
      <w:pPr>
        <w:spacing w:line="540" w:lineRule="exact"/>
        <w:ind w:firstLine="648"/>
        <w:rPr>
          <w:rFonts w:ascii="仿宋_GB2312" w:hAnsi="仿宋_GB2312" w:eastAsia="仿宋_GB2312" w:cs="仿宋_GB2312"/>
          <w:sz w:val="32"/>
          <w:szCs w:val="32"/>
        </w:rPr>
      </w:pPr>
      <w:r>
        <w:rPr>
          <w:rFonts w:hint="eastAsia" w:ascii="仿宋_GB2312" w:hAnsi="仿宋_GB2312" w:eastAsia="仿宋_GB2312" w:cs="仿宋_GB2312"/>
          <w:b/>
          <w:bCs/>
          <w:sz w:val="32"/>
          <w:szCs w:val="32"/>
        </w:rPr>
        <w:t>1.坚持规划引领，加强制度保障。</w:t>
      </w:r>
      <w:r>
        <w:rPr>
          <w:rFonts w:hint="eastAsia" w:ascii="仿宋_GB2312" w:hAnsi="仿宋_GB2312" w:eastAsia="仿宋_GB2312" w:cs="仿宋_GB2312"/>
          <w:bCs/>
          <w:sz w:val="32"/>
          <w:szCs w:val="32"/>
        </w:rPr>
        <w:t>今年以来，我们相继</w:t>
      </w:r>
      <w:r>
        <w:rPr>
          <w:rFonts w:hint="eastAsia" w:ascii="仿宋_GB2312" w:hAnsi="仿宋_GB2312" w:eastAsia="仿宋_GB2312" w:cs="仿宋_GB2312"/>
          <w:sz w:val="32"/>
          <w:szCs w:val="32"/>
        </w:rPr>
        <w:t>以市政府名义印发出台了《关于全面推进现代公共文化服务体系建设的实施意见》《关于做好政府向社会力量购买公共文化服务工作的实施细则的通知》等文件，为完善现代公共文化服务体系提供制度保障。为贯彻落实全省基层公共文化服务体系建设现场会精神，我们组织召开了全市基层公共文化服务体系专题会议进行部署。荥阳市、郑州图书馆“天中讲坛”成功入选省级公共文化服务体系示范区（示范项目）。全市15个县（市）区“三级三类”便民服务中心规划方案顺利通过专家评审，全市基层公共文化服务体系建设力度持续加大。</w:t>
      </w:r>
    </w:p>
    <w:p>
      <w:pPr>
        <w:spacing w:line="52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rPr>
        <w:t xml:space="preserve"> </w:t>
      </w:r>
      <w:r>
        <w:rPr>
          <w:rFonts w:hint="eastAsia" w:ascii="仿宋_GB2312" w:hAnsi="仿宋_GB2312" w:eastAsia="仿宋_GB2312" w:cs="仿宋_GB2312"/>
          <w:b/>
          <w:bCs/>
          <w:sz w:val="32"/>
          <w:szCs w:val="32"/>
        </w:rPr>
        <w:t>聚焦文化民生，提升惠民能力。</w:t>
      </w:r>
      <w:r>
        <w:rPr>
          <w:rFonts w:hint="eastAsia" w:ascii="仿宋_GB2312" w:hAnsi="仿宋_GB2312" w:eastAsia="仿宋_GB2312" w:cs="仿宋_GB2312"/>
          <w:sz w:val="32"/>
          <w:szCs w:val="32"/>
        </w:rPr>
        <w:t>坚持以文惠民，大力实施文化惠民工程，千场演出、情暖新春等10余项文化民生工程稳步推进，累计组织专业文艺院团演出1250场次，放映</w:t>
      </w:r>
      <w:r>
        <w:rPr>
          <w:rFonts w:hint="eastAsia" w:ascii="仿宋_GB2312" w:hAnsi="仿宋" w:eastAsia="仿宋_GB2312"/>
          <w:color w:val="000000"/>
          <w:sz w:val="32"/>
          <w:szCs w:val="32"/>
        </w:rPr>
        <w:t>公益电影近2.3万场</w:t>
      </w:r>
      <w:r>
        <w:rPr>
          <w:rFonts w:hint="eastAsia" w:ascii="仿宋_GB2312" w:hAnsi="仿宋_GB2312" w:eastAsia="仿宋_GB2312" w:cs="仿宋_GB2312"/>
          <w:sz w:val="32"/>
          <w:szCs w:val="32"/>
        </w:rPr>
        <w:t>。郑州图书馆</w:t>
      </w:r>
      <w:r>
        <w:rPr>
          <w:rFonts w:hint="eastAsia" w:ascii="仿宋_GB2312" w:hAnsi="宋体" w:eastAsia="仿宋_GB2312"/>
          <w:sz w:val="32"/>
          <w:szCs w:val="32"/>
        </w:rPr>
        <w:t>累计接待读者达128.8万余人次，开展公共文化推广活动110余场</w:t>
      </w:r>
      <w:r>
        <w:rPr>
          <w:rFonts w:hint="eastAsia" w:ascii="仿宋_GB2312" w:hAnsi="仿宋_GB2312" w:eastAsia="仿宋_GB2312" w:cs="仿宋_GB2312"/>
          <w:sz w:val="32"/>
          <w:szCs w:val="32"/>
        </w:rPr>
        <w:t>。郑州文化馆新增文化志愿服务中心4个，组织开展文化志愿服务活动100余次，“顾家河模式”受到文化部副部长杨志今的高度赞赏。郑州美术馆举办各类展览42个，接待观众10万余人次。</w:t>
      </w:r>
    </w:p>
    <w:p>
      <w:pPr>
        <w:spacing w:line="560" w:lineRule="exact"/>
        <w:ind w:firstLine="629" w:firstLineChars="196"/>
        <w:rPr>
          <w:rFonts w:ascii="仿宋_GB2312" w:hAnsi="仿宋" w:eastAsia="仿宋_GB2312"/>
          <w:sz w:val="32"/>
          <w:szCs w:val="32"/>
        </w:rPr>
      </w:pPr>
      <w:r>
        <w:rPr>
          <w:rFonts w:hint="eastAsia" w:ascii="仿宋_GB2312" w:hAnsi="仿宋_GB2312" w:eastAsia="仿宋_GB2312" w:cs="仿宋_GB2312"/>
          <w:b/>
          <w:bCs/>
          <w:sz w:val="32"/>
          <w:szCs w:val="32"/>
        </w:rPr>
        <w:t>3.打造品牌活动，丰富群众文化。</w:t>
      </w:r>
      <w:r>
        <w:rPr>
          <w:rFonts w:hint="eastAsia" w:ascii="仿宋_GB2312" w:hAnsi="仿宋" w:eastAsia="仿宋_GB2312"/>
          <w:sz w:val="32"/>
          <w:szCs w:val="32"/>
        </w:rPr>
        <w:t>“情韵郑州”系列活动贯穿全年，先后组织“群星讲堂”、“公益舞台”等主题活动77期，变送文化为种文化，受益群众近万人。“出彩郑州”系列活动以“我们的节日”为主线，让群众真正成为舞台的主角，成为文化的推动者、传播者和参与者。此外，我们坚持活动品牌化、节目精品化的目标，周密组织了首届“幸福河南--河南省首届艺术广场舞展演”活动、第三届河南省民间艺术展活动、庆祝长征胜利90周年等系列群众性文化活动。</w:t>
      </w:r>
    </w:p>
    <w:p>
      <w:pPr>
        <w:spacing w:line="52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4.非物质文化遗产活态保护成绩显著。一是</w:t>
      </w:r>
      <w:r>
        <w:rPr>
          <w:rFonts w:hint="eastAsia" w:ascii="仿宋_GB2312" w:hAnsi="仿宋_GB2312" w:eastAsia="仿宋_GB2312" w:cs="仿宋_GB2312"/>
          <w:sz w:val="32"/>
          <w:szCs w:val="32"/>
        </w:rPr>
        <w:t>积极申报非遗名录和专项资金。2016年，我市入选第四批省级非遗项目名录19个，市级非遗项目新增36个，参评国家级非遗传承人1人，累计争取中央、省级非遗保护资金111.4万元。</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积极开展“2016红红火火过大年”等非遗主题活动，向广大市民展示了非物质文化遗产的魅力。</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积极组织市属媒体、主流网站宣传推广非遗项目，积极举办各类非遗讲座和访谈节目，为老百姓走近非遗搭建平台。2016年，太乙拳受邀亮相第34届洛阳牡丹文化节“河洛欢歌·广场文化狂欢月”非遗专场，糖塑和面塑项目及其传承人参加澳门中秋节和国庆节手工艺展演活动，充分展示了郑州非遗文化魅力。</w:t>
      </w:r>
    </w:p>
    <w:p>
      <w:pPr>
        <w:spacing w:line="540" w:lineRule="exact"/>
        <w:ind w:firstLine="640" w:firstLineChars="200"/>
        <w:rPr>
          <w:rFonts w:ascii="楷体" w:hAnsi="楷体" w:eastAsia="楷体" w:cs="楷体"/>
          <w:sz w:val="32"/>
          <w:szCs w:val="32"/>
        </w:rPr>
      </w:pPr>
      <w:r>
        <w:rPr>
          <w:rFonts w:hint="eastAsia" w:ascii="楷体" w:hAnsi="楷体" w:eastAsia="楷体" w:cs="楷体"/>
          <w:sz w:val="32"/>
          <w:szCs w:val="32"/>
        </w:rPr>
        <w:t>（二）繁荣文艺创作，增进文化交流，文化软实力持续提升</w:t>
      </w:r>
    </w:p>
    <w:p>
      <w:pPr>
        <w:spacing w:line="540" w:lineRule="exact"/>
        <w:ind w:firstLine="629" w:firstLineChars="196"/>
        <w:rPr>
          <w:rFonts w:ascii="楷体" w:hAnsi="楷体" w:eastAsia="楷体" w:cs="楷体"/>
          <w:sz w:val="32"/>
          <w:szCs w:val="32"/>
        </w:rPr>
      </w:pPr>
      <w:r>
        <w:rPr>
          <w:rFonts w:hint="eastAsia" w:ascii="仿宋_GB2312" w:hAnsi="仿宋_GB2312" w:eastAsia="仿宋_GB2312" w:cs="仿宋_GB2312"/>
          <w:b/>
          <w:bCs/>
          <w:sz w:val="32"/>
          <w:szCs w:val="32"/>
        </w:rPr>
        <w:t>1.文艺精品创作硕果累累。一是</w:t>
      </w:r>
      <w:r>
        <w:rPr>
          <w:rFonts w:hint="eastAsia" w:ascii="仿宋_GB2312" w:hAnsi="仿宋_GB2312" w:eastAsia="仿宋_GB2312" w:cs="仿宋_GB2312"/>
          <w:sz w:val="32"/>
          <w:szCs w:val="32"/>
        </w:rPr>
        <w:t>艺术创作研究百花齐放。2016年以来，市艺术创作研究院所创作的作品共获得国际级奖2个、国家级奖1个、省级奖7个。</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文艺精品剧目推陈出新。成功举办2016年郑州市戏剧大赛，遴选出《都市阳光》《啼笑皆非》等10台优秀精品剧目，促进了我市戏曲艺术的繁荣与发展。</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雕塑壁画佳作频出。</w:t>
      </w:r>
      <w:r>
        <w:rPr>
          <w:rFonts w:hint="eastAsia" w:ascii="仿宋_GB2312" w:eastAsia="仿宋_GB2312"/>
          <w:sz w:val="32"/>
          <w:szCs w:val="32"/>
        </w:rPr>
        <w:t>《青铜模范》《春夏秋冬——二十四节气》科普知识雕塑园相继落成。《大河黎明》《古今科技》等壁画作品相继</w:t>
      </w:r>
      <w:r>
        <w:rPr>
          <w:rFonts w:hint="eastAsia" w:ascii="仿宋_GB2312" w:hAnsi="仿宋_GB2312" w:eastAsia="仿宋_GB2312" w:cs="仿宋_GB2312"/>
          <w:sz w:val="32"/>
          <w:szCs w:val="32"/>
        </w:rPr>
        <w:t>中</w:t>
      </w:r>
      <w:r>
        <w:rPr>
          <w:rFonts w:hint="eastAsia" w:ascii="仿宋_GB2312" w:eastAsia="仿宋_GB2312"/>
          <w:sz w:val="32"/>
          <w:szCs w:val="32"/>
        </w:rPr>
        <w:t>标郑州地铁1号线、2号线</w:t>
      </w:r>
      <w:r>
        <w:rPr>
          <w:rFonts w:hint="eastAsia" w:ascii="仿宋_GB2312" w:hAnsi="仿宋_GB2312" w:eastAsia="仿宋_GB2312" w:cs="仿宋_GB2312"/>
          <w:sz w:val="32"/>
          <w:szCs w:val="32"/>
        </w:rPr>
        <w:t>文化墙</w:t>
      </w:r>
      <w:r>
        <w:rPr>
          <w:rFonts w:hint="eastAsia" w:ascii="仿宋_GB2312" w:eastAsia="仿宋_GB2312"/>
          <w:sz w:val="32"/>
          <w:szCs w:val="32"/>
        </w:rPr>
        <w:t>并创作落成。</w:t>
      </w:r>
    </w:p>
    <w:p>
      <w:pPr>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2.专项资金扶持力度不断加大。</w:t>
      </w:r>
      <w:r>
        <w:rPr>
          <w:rFonts w:hint="eastAsia" w:ascii="仿宋_GB2312" w:hAnsi="仿宋_GB2312" w:eastAsia="仿宋_GB2312" w:cs="仿宋_GB2312"/>
          <w:sz w:val="32"/>
          <w:szCs w:val="32"/>
        </w:rPr>
        <w:t>组织市属文艺院团积极申报省级专项扶持资金，曲剧《啼笑皆非》、舞剧《农历》等项目入选“省艺术发展专项资金扶持项目”；豫剧现代戏《朝阳城》、歌曲《汉字》入选省委宣传部“中原文艺精品重点工程”。2016年，我市共获省级扶持资金约230万元。</w:t>
      </w:r>
    </w:p>
    <w:p>
      <w:pPr>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3.对外文化交流活动有声有色。</w:t>
      </w:r>
      <w:r>
        <w:rPr>
          <w:rFonts w:hint="eastAsia" w:ascii="仿宋_GB2312" w:hAnsi="仿宋_GB2312" w:eastAsia="仿宋_GB2312" w:cs="仿宋_GB2312"/>
          <w:sz w:val="32"/>
          <w:szCs w:val="32"/>
        </w:rPr>
        <w:t>市歌舞剧院在春节期间先后赴古巴、俄罗斯等5个国家执行文化部“欢乐春节”演出活动任务，受到高度赞誉；6月远赴非洲塞舌尔等4个国家开展文化交流演出，积极推进国际文化交流；8月受邀参加“感知中国·哈萨克斯坦行”综艺晚会，彰显中原文化底蕴。“春雨工程”先后走进甘肃张掖、云南勐海，扩大了中原文化的影响力和辐射力。“大地情深”国家京剧院携《红灯记》为我市群众奉献高雅艺术盛宴。此外，“豫韵丹青——墨舞嵩山”国画精品进京展览，现代豫剧《都市阳光》赴京参加“中国豫剧优秀剧目北京展演月”，推动了豫京文化交流合作，扩大了郑州文化影响力。</w:t>
      </w:r>
    </w:p>
    <w:p>
      <w:pPr>
        <w:spacing w:line="540" w:lineRule="exact"/>
        <w:ind w:firstLine="629" w:firstLineChars="196"/>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（三）加强政策引导，推动产业集聚，文化产业健康快速发展</w:t>
      </w:r>
    </w:p>
    <w:p>
      <w:pPr>
        <w:spacing w:line="540" w:lineRule="exact"/>
        <w:ind w:firstLine="642"/>
        <w:rPr>
          <w:rFonts w:ascii="仿宋_GB2312" w:hAnsi="仿宋_GB2312" w:eastAsia="仿宋_GB2312" w:cs="仿宋_GB2312"/>
          <w:sz w:val="32"/>
          <w:szCs w:val="32"/>
        </w:rPr>
      </w:pPr>
      <w:r>
        <w:rPr>
          <w:rFonts w:hint="eastAsia" w:ascii="仿宋_GB2312" w:hAnsi="仿宋_GB2312" w:eastAsia="仿宋_GB2312" w:cs="仿宋_GB2312"/>
          <w:b/>
          <w:bCs/>
          <w:sz w:val="32"/>
          <w:szCs w:val="32"/>
        </w:rPr>
        <w:t>1.城市文化消费试点工作有序推进。</w:t>
      </w:r>
      <w:r>
        <w:rPr>
          <w:rFonts w:hint="eastAsia" w:ascii="仿宋_GB2312" w:hAnsi="仿宋_GB2312" w:eastAsia="仿宋_GB2312" w:cs="仿宋_GB2312"/>
          <w:sz w:val="32"/>
          <w:szCs w:val="32"/>
        </w:rPr>
        <w:t>我市积极创建国家首批文化消费试点城市，以市委市政府名义印发了《郑州市开展引导城乡居民扩大文化消费试点工作方案》，召开了“引导扩大居民文化消费试点工作动员会”，全市城区均纳入试点范围。</w:t>
      </w:r>
    </w:p>
    <w:p>
      <w:pPr>
        <w:spacing w:line="540" w:lineRule="exact"/>
        <w:ind w:firstLine="629" w:firstLineChars="196"/>
        <w:rPr>
          <w:rFonts w:ascii="仿宋_GB2312" w:hAnsi="仿宋_GB2312" w:eastAsia="仿宋_GB2312" w:cs="仿宋_GB2312"/>
          <w:sz w:val="32"/>
          <w:szCs w:val="32"/>
        </w:rPr>
      </w:pPr>
      <w:r>
        <w:rPr>
          <w:rFonts w:hint="eastAsia" w:ascii="仿宋_GB2312" w:hAnsi="仿宋_GB2312" w:eastAsia="仿宋_GB2312" w:cs="仿宋_GB2312"/>
          <w:b/>
          <w:bCs/>
          <w:sz w:val="32"/>
          <w:szCs w:val="32"/>
        </w:rPr>
        <w:t>2.文化产业扶持力度不断加大。</w:t>
      </w:r>
      <w:r>
        <w:rPr>
          <w:rFonts w:hint="eastAsia" w:ascii="仿宋_GB2312" w:hAnsi="仿宋_GB2312" w:eastAsia="仿宋_GB2312" w:cs="仿宋_GB2312"/>
          <w:sz w:val="32"/>
          <w:szCs w:val="32"/>
        </w:rPr>
        <w:t>积极申报国家、省级文化产业扶持资金和项目，我市16个文化产业项目共计获得专项资金2765万元。积极做好文化企业投融资工作，先后征集到33个前景看好的文化产业项目获得投资达297.23亿元。建立省、市重点项目动态服务机制，动态掌握项目建设情况。2016年，我市5个文化产业项目在河南中小文化企业投融资路演暨项目推介活动被重点推介。　　　　</w:t>
      </w:r>
    </w:p>
    <w:p>
      <w:pPr>
        <w:spacing w:line="5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3.示范园区、基地、项目建设持续推进。</w:t>
      </w:r>
      <w:r>
        <w:rPr>
          <w:rFonts w:hint="eastAsia" w:ascii="仿宋_GB2312" w:hAnsi="仿宋_GB2312" w:eastAsia="仿宋_GB2312" w:cs="仿宋_GB2312"/>
          <w:sz w:val="32"/>
          <w:szCs w:val="32"/>
        </w:rPr>
        <w:t>郑州国际文化创意产业园、“天地之中”文化旅游专业园区、中原科技创新文化产业园形成了“文化+创意”、“文化+旅游”、“文化+科技”项目集聚发展的良好态势，形成了在全国范围内有影响力的产业品牌。在产业集聚效应带动下，河南约克动漫影视股份有限公司成为第六批“河南省文化产业示范基地”，登封市鹅坡少林武术文化博览有限公司入选2015-2016年度国家文化出口重点企业，《黄帝史诗》入选2016全国弘扬社会主义核心价值观动漫扶持计划。</w:t>
      </w:r>
    </w:p>
    <w:p>
      <w:pPr>
        <w:spacing w:line="5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4.推动文化企业和文化产品“走出去”。</w:t>
      </w:r>
      <w:r>
        <w:rPr>
          <w:rFonts w:hint="eastAsia" w:ascii="仿宋_GB2312" w:hAnsi="仿宋_GB2312" w:eastAsia="仿宋_GB2312" w:cs="仿宋_GB2312"/>
          <w:sz w:val="32"/>
          <w:szCs w:val="32"/>
        </w:rPr>
        <w:t>遴选组织全市部分优秀文化企业和产品组团参加杭州国际动漫节、海峡两岸文博会等产业博览会，为文化企业搭建交流、展示、贸易平台，推动文化产业发展壮大。我市选送的参展作品豫锦《富春山居图》、许氏陶瓷孔雀洗分别获得海峡两岸文博会中华优秀作品奖综合类金奖、银奖，取得了良好的展览效果。</w:t>
      </w:r>
    </w:p>
    <w:p>
      <w:pPr>
        <w:spacing w:line="540" w:lineRule="exact"/>
        <w:ind w:firstLine="640" w:firstLineChars="200"/>
        <w:rPr>
          <w:rFonts w:ascii="楷体" w:hAnsi="楷体" w:eastAsia="楷体" w:cs="楷体"/>
          <w:sz w:val="32"/>
          <w:szCs w:val="32"/>
        </w:rPr>
      </w:pPr>
      <w:r>
        <w:rPr>
          <w:rFonts w:hint="eastAsia" w:ascii="楷体" w:hAnsi="楷体" w:eastAsia="楷体" w:cs="楷体"/>
          <w:sz w:val="32"/>
          <w:szCs w:val="32"/>
        </w:rPr>
        <w:t>（四）把握导向、加强引导，广播电视行业管理平稳有序</w:t>
      </w:r>
    </w:p>
    <w:p>
      <w:pPr>
        <w:widowControl/>
        <w:spacing w:line="540" w:lineRule="exact"/>
        <w:ind w:firstLine="642" w:firstLineChars="200"/>
        <w:rPr>
          <w:rFonts w:ascii="仿宋_GB2312" w:hAnsi="仿宋" w:eastAsia="仿宋_GB2312"/>
          <w:sz w:val="32"/>
          <w:szCs w:val="32"/>
        </w:rPr>
      </w:pPr>
      <w:r>
        <w:rPr>
          <w:rFonts w:hint="eastAsia" w:ascii="仿宋_GB2312" w:hAnsi="仿宋_GB2312" w:eastAsia="仿宋_GB2312" w:cs="仿宋_GB2312"/>
          <w:b/>
          <w:bCs/>
          <w:sz w:val="32"/>
          <w:szCs w:val="32"/>
        </w:rPr>
        <w:t>1.确保广播电视安全播出零事故。</w:t>
      </w:r>
      <w:r>
        <w:rPr>
          <w:rFonts w:hint="eastAsia" w:ascii="仿宋_GB2312" w:hAnsi="仿宋" w:eastAsia="仿宋_GB2312"/>
          <w:sz w:val="32"/>
          <w:szCs w:val="32"/>
        </w:rPr>
        <w:t>始终坚持把广播电视安全播出放在首位，制定应急预案，明确分工责任，在重大节日、重要会议等关键节点，要求播出机构加大检查工作力度，确保了各个重要保障期的安全播出。2016年，全市广播电视安全播出无重大责任事故，安全播出停播率保持在20秒/百小时以内的目标。</w:t>
      </w:r>
    </w:p>
    <w:p>
      <w:pPr>
        <w:widowControl/>
        <w:spacing w:line="540" w:lineRule="exact"/>
        <w:ind w:firstLine="642" w:firstLineChars="200"/>
        <w:rPr>
          <w:rFonts w:ascii="仿宋_GB2312" w:hAnsi="仿宋" w:eastAsia="仿宋_GB2312"/>
          <w:sz w:val="32"/>
          <w:szCs w:val="32"/>
        </w:rPr>
      </w:pPr>
      <w:r>
        <w:rPr>
          <w:rFonts w:hint="eastAsia" w:ascii="仿宋_GB2312" w:hAnsi="仿宋_GB2312" w:eastAsia="仿宋_GB2312" w:cs="仿宋_GB2312"/>
          <w:b/>
          <w:bCs/>
          <w:sz w:val="32"/>
          <w:szCs w:val="32"/>
        </w:rPr>
        <w:t>2.</w:t>
      </w:r>
      <w:r>
        <w:rPr>
          <w:rFonts w:hint="eastAsia" w:ascii="仿宋_GB2312" w:eastAsia="仿宋_GB2312"/>
          <w:b/>
          <w:sz w:val="32"/>
          <w:szCs w:val="32"/>
        </w:rPr>
        <w:t>协调广播电视媒体做好主题宣传。</w:t>
      </w:r>
      <w:r>
        <w:rPr>
          <w:rFonts w:hint="eastAsia" w:ascii="仿宋_GB2312" w:eastAsia="仿宋_GB2312" w:cs="宋体"/>
          <w:kern w:val="0"/>
          <w:sz w:val="32"/>
          <w:szCs w:val="32"/>
        </w:rPr>
        <w:t>围绕市委市政府中心工作和百姓关注的民生工程，协调广播电视媒体做好“两会”、拜祖大典、国际旅游城市市长论坛等主题活动的宣传，大力弘扬社会主义核心价值观，营造了良好的社会舆论氛围。</w:t>
      </w:r>
    </w:p>
    <w:p>
      <w:pPr>
        <w:spacing w:line="52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3.广播电视行业管理不断加强。</w:t>
      </w:r>
      <w:r>
        <w:rPr>
          <w:rFonts w:hint="eastAsia" w:ascii="仿宋_GB2312" w:hAnsi="仿宋_GB2312" w:eastAsia="仿宋_GB2312" w:cs="仿宋_GB2312"/>
          <w:sz w:val="32"/>
          <w:szCs w:val="32"/>
        </w:rPr>
        <w:t>抓好重点时期、重点频率频道、重要时段的广播电视广告管理工作，做好公益广告的播出工作。精心组织全市广播电视政府新闻奖年度评选活动，遴选出59件优秀作品参加省级新闻奖评选活动。开展打击治理“黑广播”违法犯罪专项行动，共收集通报线索近90条，取缔“黑广播”19个。开展卫星电视广播地面接收设施专项整治行动，对全市星级以上宾馆、大型娱乐场所等相关单位进行认真检查，严格规范广播电视传播秩序。</w:t>
      </w:r>
    </w:p>
    <w:p>
      <w:pPr>
        <w:spacing w:line="52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4.电影行业健康快速发展。</w:t>
      </w:r>
      <w:r>
        <w:rPr>
          <w:rFonts w:hint="eastAsia" w:ascii="仿宋_GB2312" w:hAnsi="仿宋" w:eastAsia="仿宋_GB2312"/>
          <w:color w:val="000000"/>
          <w:sz w:val="32"/>
          <w:szCs w:val="32"/>
        </w:rPr>
        <w:t>加强电影市场管理，规范电影放映单位的经营行为，开展电影市场秩序专项治理活动、电影安全放映工作督查整改活动，确保电影放映市场安全稳定繁荣。截至10月底,全市电影放映经营单位为68家,比2015年底增长23.6%,在全国电影票房低迷的大环境下,全市票房总收入为4.68亿元，比去年同期增长1000万元。</w:t>
      </w:r>
    </w:p>
    <w:p>
      <w:pPr>
        <w:spacing w:line="540" w:lineRule="exact"/>
        <w:ind w:firstLine="640" w:firstLineChars="200"/>
        <w:rPr>
          <w:rFonts w:ascii="仿宋_GB2312" w:hAnsi="仿宋_GB2312" w:eastAsia="仿宋_GB2312" w:cs="仿宋_GB2312"/>
          <w:b/>
          <w:bCs/>
          <w:sz w:val="32"/>
          <w:szCs w:val="32"/>
        </w:rPr>
      </w:pPr>
      <w:r>
        <w:rPr>
          <w:rFonts w:hint="eastAsia" w:ascii="楷体" w:hAnsi="楷体" w:eastAsia="楷体" w:cs="楷体"/>
          <w:sz w:val="32"/>
          <w:szCs w:val="32"/>
        </w:rPr>
        <w:t>（五）加强服务，转型升级，新闻出版行业实力持续增强</w:t>
      </w:r>
    </w:p>
    <w:p>
      <w:pPr>
        <w:pStyle w:val="4"/>
        <w:adjustRightInd w:val="0"/>
        <w:snapToGrid w:val="0"/>
        <w:spacing w:before="0" w:beforeAutospacing="0" w:after="0" w:afterAutospacing="0" w:line="520" w:lineRule="exact"/>
        <w:ind w:firstLine="629" w:firstLineChars="196"/>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1.新闻出版业转型步伐加快。</w:t>
      </w:r>
      <w:r>
        <w:rPr>
          <w:rFonts w:hint="eastAsia" w:ascii="仿宋_GB2312" w:hAnsi="仿宋_GB2312" w:eastAsia="仿宋_GB2312" w:cs="仿宋_GB2312"/>
          <w:sz w:val="32"/>
          <w:szCs w:val="32"/>
        </w:rPr>
        <w:t>全市印刷发行企业各项指标呈现快速发展的良好态势。郑州绿色印刷包装文化旅游创意产业园建设有序推进，园区与刘河镇区协同发展规划已纳入到荥阳市“十三五”规划中。精心组织开展2015年度印刷行业“十佳印刷企业”和“技术能手”评选表彰活动，鼓励印刷企业在艰难中求发展。</w:t>
      </w:r>
      <w:r>
        <w:rPr>
          <w:rFonts w:hint="eastAsia" w:ascii="仿宋_GB2312" w:hAnsi="仿宋_GB2312" w:eastAsia="仿宋_GB2312"/>
          <w:sz w:val="32"/>
          <w:szCs w:val="32"/>
        </w:rPr>
        <w:t>实体书店积极谋求转型升级，</w:t>
      </w:r>
      <w:r>
        <w:rPr>
          <w:rFonts w:hint="eastAsia" w:ascii="仿宋_GB2312" w:eastAsia="仿宋_GB2312"/>
          <w:sz w:val="32"/>
          <w:szCs w:val="32"/>
        </w:rPr>
        <w:t>在全国图书销售市场普遍不景气的情况下，我市图书销售额仍保持9%的增长速度，成为拉动我市图书市场的重要因素。</w:t>
      </w:r>
    </w:p>
    <w:p>
      <w:pPr>
        <w:spacing w:line="540" w:lineRule="exact"/>
        <w:ind w:firstLine="629" w:firstLineChars="196"/>
        <w:rPr>
          <w:rFonts w:ascii="楷体" w:hAnsi="楷体" w:eastAsia="楷体" w:cs="楷体"/>
          <w:sz w:val="32"/>
          <w:szCs w:val="32"/>
        </w:rPr>
      </w:pPr>
      <w:r>
        <w:rPr>
          <w:rFonts w:hint="eastAsia" w:ascii="仿宋_GB2312" w:hAnsi="仿宋_GB2312" w:eastAsia="仿宋_GB2312" w:cs="仿宋_GB2312"/>
          <w:b/>
          <w:bCs/>
          <w:sz w:val="32"/>
          <w:szCs w:val="32"/>
        </w:rPr>
        <w:t>2.出版和版权工作成绩显著。</w:t>
      </w:r>
      <w:r>
        <w:rPr>
          <w:rFonts w:hint="eastAsia" w:ascii="仿宋_GB2312" w:hAnsi="仿宋_GB2312" w:eastAsia="仿宋_GB2312" w:cs="仿宋_GB2312"/>
          <w:sz w:val="32"/>
          <w:szCs w:val="32"/>
        </w:rPr>
        <w:t>全市连续申办连续性内部资料达94家，出版物出版质量和编辑人员的业务能力不断提升。全市著作权登记达到800件，为著作权人搭建了良好的维权和服务平台。软件正版化工作在全市党政机关企事业单位全面铺开，</w:t>
      </w:r>
      <w:r>
        <w:rPr>
          <w:rFonts w:hint="eastAsia" w:ascii="仿宋_GB2312" w:eastAsia="仿宋_GB2312"/>
          <w:color w:val="000000"/>
          <w:sz w:val="32"/>
          <w:szCs w:val="32"/>
        </w:rPr>
        <w:t>推进全市软件正版化工作向纵深发展</w:t>
      </w:r>
      <w:r>
        <w:rPr>
          <w:rFonts w:hint="eastAsia" w:ascii="仿宋_GB2312" w:hAnsi="仿宋_GB2312" w:eastAsia="仿宋_GB2312" w:cs="仿宋_GB2312"/>
          <w:sz w:val="32"/>
          <w:szCs w:val="32"/>
        </w:rPr>
        <w:t>。启动各级版权示范城市、示范园区、示范单位创建活动，做好首批申请创建省级示范的初审、推荐和报批工作。营造尊重版权的社会氛围，通过媒体宣传和开办讲座等形式，开展《著作权法》、“4·26世界知识产权日”等主题宣传活动，增强了市民保护知识产权的意识。　</w:t>
      </w:r>
    </w:p>
    <w:p>
      <w:pPr>
        <w:spacing w:line="540" w:lineRule="exact"/>
        <w:rPr>
          <w:rFonts w:ascii="楷体" w:hAnsi="楷体" w:eastAsia="楷体" w:cs="楷体"/>
          <w:sz w:val="32"/>
          <w:szCs w:val="32"/>
        </w:rPr>
      </w:pPr>
      <w:r>
        <w:rPr>
          <w:rFonts w:hint="eastAsia" w:ascii="楷体" w:hAnsi="楷体" w:eastAsia="楷体" w:cs="楷体"/>
          <w:sz w:val="32"/>
          <w:szCs w:val="32"/>
        </w:rPr>
        <w:t xml:space="preserve">   （六）打造亮点，特色鲜明，文化节会精彩纷呈</w:t>
      </w:r>
    </w:p>
    <w:p>
      <w:pPr>
        <w:spacing w:line="560" w:lineRule="exact"/>
        <w:ind w:firstLine="629" w:firstLineChars="196"/>
        <w:rPr>
          <w:rFonts w:ascii="仿宋_GB2312" w:hAnsi="仿宋" w:eastAsia="仿宋_GB2312"/>
          <w:sz w:val="32"/>
          <w:szCs w:val="32"/>
        </w:rPr>
      </w:pPr>
      <w:r>
        <w:rPr>
          <w:rFonts w:hint="eastAsia" w:ascii="仿宋_GB2312" w:hAnsi="仿宋" w:eastAsia="仿宋_GB2312" w:cs="仿宋"/>
          <w:b/>
          <w:bCs/>
          <w:sz w:val="32"/>
          <w:szCs w:val="32"/>
        </w:rPr>
        <w:t>1.2016中国·郑州国际马戏嘉年华</w:t>
      </w:r>
      <w:r>
        <w:rPr>
          <w:rFonts w:hint="eastAsia" w:ascii="仿宋_GB2312" w:hAnsi="仿宋" w:eastAsia="仿宋_GB2312"/>
          <w:sz w:val="32"/>
          <w:szCs w:val="32"/>
        </w:rPr>
        <w:t>邀请俄罗斯、哈萨克斯坦、乌兹别克斯坦、吉尔吉斯斯坦、蒙古等5个“一带一路”沿线国家及新疆、安徽等12个表演团体为广大市民群众奉献28场异彩纷呈的马戏杂技表演，2万多名</w:t>
      </w:r>
      <w:r>
        <w:rPr>
          <w:rFonts w:ascii="仿宋_GB2312" w:hAnsi="仿宋" w:eastAsia="仿宋_GB2312"/>
          <w:sz w:val="32"/>
          <w:szCs w:val="32"/>
        </w:rPr>
        <w:t>绿城市民品尝到了这道文化大餐</w:t>
      </w:r>
      <w:r>
        <w:rPr>
          <w:rFonts w:hint="eastAsia" w:ascii="仿宋_GB2312" w:hAnsi="仿宋" w:eastAsia="仿宋_GB2312"/>
          <w:sz w:val="32"/>
          <w:szCs w:val="32"/>
        </w:rPr>
        <w:t>。马戏嘉年华开启公益通道，</w:t>
      </w:r>
      <w:r>
        <w:rPr>
          <w:rFonts w:ascii="仿宋_GB2312" w:hAnsi="仿宋" w:eastAsia="仿宋_GB2312"/>
          <w:sz w:val="32"/>
          <w:szCs w:val="32"/>
        </w:rPr>
        <w:t>全市1000余名环卫工人</w:t>
      </w:r>
      <w:r>
        <w:rPr>
          <w:rFonts w:hint="eastAsia" w:ascii="仿宋_GB2312" w:hAnsi="仿宋" w:eastAsia="仿宋_GB2312"/>
          <w:sz w:val="32"/>
          <w:szCs w:val="32"/>
        </w:rPr>
        <w:t>、2000多名郑州市福利院儿童、全市优秀教师学生代表、劳模代表、创建先进个人等</w:t>
      </w:r>
      <w:r>
        <w:rPr>
          <w:rFonts w:ascii="仿宋_GB2312" w:hAnsi="仿宋" w:eastAsia="仿宋_GB2312"/>
          <w:sz w:val="32"/>
          <w:szCs w:val="32"/>
        </w:rPr>
        <w:t>受邀观看了演出。</w:t>
      </w:r>
    </w:p>
    <w:p>
      <w:pPr>
        <w:spacing w:line="560" w:lineRule="exact"/>
        <w:ind w:firstLine="629" w:firstLineChars="196"/>
        <w:rPr>
          <w:rFonts w:ascii="仿宋_GB2312" w:hAnsi="仿宋" w:eastAsia="仿宋_GB2312"/>
          <w:sz w:val="32"/>
          <w:szCs w:val="32"/>
        </w:rPr>
      </w:pPr>
      <w:r>
        <w:rPr>
          <w:rFonts w:hint="eastAsia" w:ascii="仿宋_GB2312" w:hAnsi="仿宋" w:eastAsia="仿宋_GB2312" w:cs="仿宋"/>
          <w:b/>
          <w:bCs/>
          <w:sz w:val="32"/>
          <w:szCs w:val="32"/>
        </w:rPr>
        <w:t>2.2016郑州图书交易会</w:t>
      </w:r>
      <w:r>
        <w:rPr>
          <w:rFonts w:hint="eastAsia" w:ascii="仿宋_GB2312" w:hAnsi="仿宋" w:eastAsia="仿宋_GB2312"/>
          <w:sz w:val="32"/>
          <w:szCs w:val="32"/>
        </w:rPr>
        <w:t>吸引了来自北京、山东、湖南、江苏、广东等22个省市的360多家出版物发行单位参展，展会成交量超过6亿元，参观人流突破3万人次。经过近十年的不懈努力，郑州图书交易会已经成为全国最具影响力的四大图书交易会之一。</w:t>
      </w:r>
    </w:p>
    <w:p>
      <w:pPr>
        <w:spacing w:line="560" w:lineRule="exact"/>
        <w:ind w:firstLine="629" w:firstLineChars="196"/>
        <w:rPr>
          <w:rFonts w:ascii="仿宋_GB2312" w:hAnsi="仿宋" w:eastAsia="仿宋_GB2312"/>
          <w:sz w:val="32"/>
          <w:szCs w:val="32"/>
        </w:rPr>
      </w:pPr>
      <w:r>
        <w:rPr>
          <w:rFonts w:hint="eastAsia" w:ascii="仿宋_GB2312" w:hAnsi="仿宋" w:eastAsia="仿宋_GB2312" w:cs="仿宋"/>
          <w:b/>
          <w:bCs/>
          <w:sz w:val="32"/>
          <w:szCs w:val="32"/>
        </w:rPr>
        <w:t>3.</w:t>
      </w:r>
      <w:r>
        <w:rPr>
          <w:rFonts w:ascii="仿宋_GB2312" w:hAnsi="仿宋" w:eastAsia="仿宋_GB2312" w:cs="仿宋"/>
          <w:b/>
          <w:bCs/>
          <w:sz w:val="32"/>
          <w:szCs w:val="32"/>
        </w:rPr>
        <w:t>第十三届绿城读书节</w:t>
      </w:r>
      <w:r>
        <w:rPr>
          <w:rFonts w:hint="eastAsia" w:ascii="仿宋_GB2312" w:hAnsi="仿宋" w:eastAsia="仿宋_GB2312"/>
          <w:sz w:val="32"/>
          <w:szCs w:val="32"/>
        </w:rPr>
        <w:t>突出“互联、互通、惠民”特色，通过广播电台和互联网平台同步直播，</w:t>
      </w:r>
      <w:r>
        <w:rPr>
          <w:rFonts w:ascii="仿宋_GB2312" w:hAnsi="仿宋" w:eastAsia="仿宋_GB2312"/>
          <w:sz w:val="32"/>
          <w:szCs w:val="32"/>
        </w:rPr>
        <w:t>首次向市民免费发放20万元绿城读书券，</w:t>
      </w:r>
      <w:r>
        <w:rPr>
          <w:rFonts w:hint="eastAsia" w:ascii="仿宋_GB2312" w:hAnsi="仿宋" w:eastAsia="仿宋_GB2312"/>
          <w:sz w:val="32"/>
          <w:szCs w:val="32"/>
        </w:rPr>
        <w:t>组织开展绿城读书券发放、经典诵读比赛、名家签售及讲座5大类29项阅读活动，绿城读书节图书展销会活动日均接待市民1.2万人次，全场销售图书8万余册，销售总实洋约36万元，取得了较好的活动效果。</w:t>
      </w:r>
    </w:p>
    <w:p>
      <w:pPr>
        <w:spacing w:line="560" w:lineRule="exact"/>
        <w:ind w:firstLine="629" w:firstLineChars="196"/>
        <w:rPr>
          <w:rFonts w:ascii="仿宋_GB2312" w:hAnsi="仿宋" w:eastAsia="仿宋_GB2312"/>
          <w:sz w:val="32"/>
          <w:szCs w:val="32"/>
        </w:rPr>
      </w:pPr>
      <w:r>
        <w:rPr>
          <w:rFonts w:hint="eastAsia" w:ascii="仿宋_GB2312" w:hAnsi="仿宋" w:eastAsia="仿宋_GB2312" w:cs="仿宋"/>
          <w:b/>
          <w:bCs/>
          <w:sz w:val="32"/>
          <w:szCs w:val="32"/>
        </w:rPr>
        <w:t>4.第九届中国（郑州）印刷包装产业博览会</w:t>
      </w:r>
      <w:r>
        <w:rPr>
          <w:rFonts w:hint="eastAsia" w:ascii="仿宋_GB2312" w:hAnsi="仿宋" w:eastAsia="仿宋_GB2312"/>
          <w:sz w:val="32"/>
          <w:szCs w:val="32"/>
        </w:rPr>
        <w:t>展览面积达2万多平方米，观众突破3万人次。展会为600多家印刷包装企业、设备器材制造厂家带来新的发展契机。</w:t>
      </w:r>
    </w:p>
    <w:p>
      <w:pPr>
        <w:spacing w:line="540" w:lineRule="exact"/>
        <w:ind w:firstLine="640" w:firstLineChars="200"/>
        <w:rPr>
          <w:rFonts w:ascii="楷体" w:hAnsi="楷体" w:eastAsia="楷体" w:cs="楷体"/>
          <w:sz w:val="32"/>
          <w:szCs w:val="32"/>
        </w:rPr>
      </w:pPr>
      <w:r>
        <w:rPr>
          <w:rFonts w:hint="eastAsia" w:ascii="楷体" w:hAnsi="楷体" w:eastAsia="楷体" w:cs="楷体"/>
          <w:sz w:val="32"/>
          <w:szCs w:val="32"/>
        </w:rPr>
        <w:t>（七）严格执法，加强监管，文化市场健康有序发展</w:t>
      </w:r>
    </w:p>
    <w:p>
      <w:pPr>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1.文化市场行业管理规范有序。</w:t>
      </w:r>
      <w:r>
        <w:rPr>
          <w:rFonts w:hint="eastAsia" w:ascii="仿宋_GB2312" w:hAnsi="仿宋_GB2312" w:eastAsia="仿宋_GB2312" w:cs="仿宋_GB2312"/>
          <w:sz w:val="32"/>
          <w:szCs w:val="32"/>
        </w:rPr>
        <w:t>加强“五单一网”制度改革配套机制建设，落实行政许可、行政处罚信用信息公示制度。局行政审批工作全部实行网上审批，提前办结率达100%。加强行政审批部门和综合执法部门的有效衔接，有效防止新政策实施后出现管理真空、衔接失调现象。制定出台《郑州市文化市场突发事件应急处置预案》《郑州市关于文化市场消防安全标准化管理达标创建活动实施方案》等政策文件，切实加强平安文化市场建设。</w:t>
      </w:r>
    </w:p>
    <w:p>
      <w:pPr>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2.现代文化市场体系建设稳步推进。</w:t>
      </w:r>
      <w:r>
        <w:rPr>
          <w:rFonts w:hint="eastAsia" w:ascii="仿宋_GB2312" w:hAnsi="仿宋_GB2312" w:eastAsia="仿宋_GB2312" w:cs="仿宋_GB2312"/>
          <w:sz w:val="32"/>
          <w:szCs w:val="32"/>
        </w:rPr>
        <w:t>以互联网上网服务行业为切入点，推进文化市场主体行政许可和行政处罚等信息“双公示”工作，逐步探索建立我市文化市场经营主体黑名单管理制度，有序推进文化市场信用体系建设。落实国家和省级有关政策，使游戏游艺新政落地郑州，促进行业健康发展；开展文化市场经营单位备案工作，全市文化市场经营单位备案达123家。近80家互联网上网服务场所加入文化市场专网云服务系统，中青网络家园、一号网咖等上网场所的转型升级模式在全市进行推广。推动文化娱乐行业转型升级，确定4家歌舞娱乐和游戏游艺企业作为转型升级示范场所，促进行业健康有序发展，被文化部列为河南省文化娱乐行业转型升级重点城市。</w:t>
      </w:r>
    </w:p>
    <w:p>
      <w:pPr>
        <w:spacing w:line="560" w:lineRule="exact"/>
        <w:ind w:firstLine="629" w:firstLineChars="196"/>
        <w:rPr>
          <w:rFonts w:ascii="仿宋_GB2312" w:hAnsi="仿宋" w:eastAsia="仿宋_GB2312"/>
          <w:sz w:val="32"/>
          <w:szCs w:val="32"/>
        </w:rPr>
      </w:pPr>
      <w:r>
        <w:rPr>
          <w:rFonts w:hint="eastAsia" w:ascii="仿宋_GB2312" w:hAnsi="仿宋_GB2312" w:eastAsia="仿宋_GB2312" w:cs="仿宋_GB2312"/>
          <w:b/>
          <w:bCs/>
          <w:sz w:val="32"/>
          <w:szCs w:val="32"/>
        </w:rPr>
        <w:t>3.扫黄打非和综合执法工作成效显著</w:t>
      </w:r>
      <w:r>
        <w:rPr>
          <w:rFonts w:hint="eastAsia" w:ascii="仿宋_GB2312" w:hAnsi="仿宋_GB2312" w:eastAsia="仿宋_GB2312" w:cs="仿宋_GB2312"/>
          <w:sz w:val="32"/>
          <w:szCs w:val="32"/>
        </w:rPr>
        <w:t>。</w:t>
      </w:r>
      <w:r>
        <w:rPr>
          <w:rFonts w:hint="eastAsia" w:ascii="仿宋_GB2312" w:hAnsi="仿宋" w:eastAsia="仿宋_GB2312"/>
          <w:sz w:val="32"/>
          <w:szCs w:val="32"/>
        </w:rPr>
        <w:t>深入开展“扫黄打非”集中行动和“净网”“秋风”“清源”“闪电”系列专项整治活动，组织开展集中整治（专项）行动15次，出动执法人员1.6万人次，查办案件64起，收缴侵权盗版、淫秽色情等非法出版物63万多册（张）。查获“5·15”、“5·19”、“10.20”等侵犯他人著作权的出版物市场大案要案，净化了我市文化市场经营环境，震慑了违法犯罪。</w:t>
      </w:r>
    </w:p>
    <w:p>
      <w:pPr>
        <w:spacing w:line="540" w:lineRule="exact"/>
        <w:ind w:firstLine="640"/>
        <w:rPr>
          <w:rFonts w:ascii="仿宋" w:hAnsi="仿宋" w:eastAsia="仿宋" w:cs="宋体"/>
          <w:kern w:val="0"/>
          <w:sz w:val="32"/>
          <w:szCs w:val="32"/>
        </w:rPr>
      </w:pPr>
      <w:r>
        <w:rPr>
          <w:rFonts w:hint="eastAsia" w:ascii="仿宋_GB2312" w:hAnsi="仿宋_GB2312" w:eastAsia="仿宋_GB2312" w:cs="仿宋_GB2312"/>
          <w:sz w:val="32"/>
          <w:szCs w:val="32"/>
        </w:rPr>
        <w:t>与此同时，局系统各项保障工作也取得了显著成效。人才队伍建设力度加大，干部培养、人才招聘等各项工作有序推进。文化规划、文化立法工作步伐加快。</w:t>
      </w:r>
      <w:r>
        <w:rPr>
          <w:rFonts w:hint="eastAsia" w:ascii="仿宋" w:hAnsi="仿宋" w:eastAsia="仿宋" w:cs="宋体"/>
          <w:kern w:val="0"/>
          <w:sz w:val="32"/>
          <w:szCs w:val="32"/>
        </w:rPr>
        <w:t>经费保障、财务审计、资产盘点、政府采购等工作有序推进，科技化、信息化水平不断提升。</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党的建设和廉政建设得到加强。“两学一做”学习教育扎实推进，学习教育活</w:t>
      </w:r>
      <w:r>
        <w:rPr>
          <w:rFonts w:hint="eastAsia" w:ascii="仿宋" w:hAnsi="仿宋" w:eastAsia="仿宋" w:cs="宋体"/>
          <w:kern w:val="0"/>
          <w:sz w:val="32"/>
          <w:szCs w:val="32"/>
        </w:rPr>
        <w:t>动形式多样、富有成</w:t>
      </w:r>
      <w:r>
        <w:rPr>
          <w:rFonts w:hint="eastAsia" w:ascii="仿宋_GB2312" w:hAnsi="仿宋_GB2312" w:eastAsia="仿宋_GB2312" w:cs="仿宋_GB2312"/>
          <w:sz w:val="32"/>
          <w:szCs w:val="32"/>
        </w:rPr>
        <w:t>效。贯彻落实党风廉政建设主体责任，狠抓管党治党责任落实，强化监督执纪问责，文化系统作风建设得到加强。</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二、存在的问题</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面对新形势、新要求、新任务，我们更要清醒地认识到我市文化建设还存在不少“短板”，尤其是与“十三五”时期发展要求和</w:t>
      </w:r>
      <w:bookmarkStart w:id="0" w:name="_GoBack"/>
      <w:bookmarkEnd w:id="0"/>
      <w:r>
        <w:rPr>
          <w:rFonts w:hint="default" w:ascii="仿宋_GB2312" w:hAnsi="仿宋_GB2312" w:eastAsia="仿宋_GB2312" w:cs="仿宋_GB2312"/>
          <w:sz w:val="32"/>
          <w:szCs w:val="32"/>
          <w:lang w:val="en-US"/>
        </w:rPr>
        <w:t>市第十一次党代会</w:t>
      </w:r>
      <w:r>
        <w:rPr>
          <w:rFonts w:hint="eastAsia" w:ascii="仿宋_GB2312" w:hAnsi="仿宋_GB2312" w:eastAsia="仿宋_GB2312" w:cs="仿宋_GB2312"/>
          <w:sz w:val="32"/>
          <w:szCs w:val="32"/>
        </w:rPr>
        <w:t>目标任务要存在一定差距。比如，文化建设与新型城镇化建设不同步、空间布局衔接不紧；市、县、乡、村四级公共文化服务体系“填空白、补短板、促均衡”的任务还很重；公共文化服务能力还不能满足城乡居民精神文化需要；文艺事业“出人出戏出精品”的机制亟待健全完善，文艺作品特别是精品力作比例还不高，有“高原”缺“高峰”的问题还未根本扭转；在经济新常态下和供给侧改革背景下，文化产业“产品附加值低、产业链短、龙头企业少”、对经济拉动作用还不强等问题。这些问题，都需要我们在下一步的工作中认真对待、认真研究，采取有力措施加以解决。</w:t>
      </w:r>
    </w:p>
    <w:p>
      <w:pPr>
        <w:spacing w:line="540" w:lineRule="exact"/>
        <w:rPr>
          <w:rFonts w:ascii="黑体" w:hAnsi="黑体" w:eastAsia="黑体"/>
          <w:sz w:val="32"/>
          <w:szCs w:val="32"/>
        </w:rPr>
      </w:pPr>
      <w:r>
        <w:rPr>
          <w:rFonts w:hint="eastAsia" w:ascii="黑体" w:hAnsi="黑体" w:eastAsia="黑体"/>
          <w:sz w:val="32"/>
          <w:szCs w:val="32"/>
        </w:rPr>
        <w:t xml:space="preserve">    三、2017年工作计划</w:t>
      </w:r>
    </w:p>
    <w:p>
      <w:pPr>
        <w:spacing w:line="540" w:lineRule="exact"/>
        <w:rPr>
          <w:rFonts w:ascii="黑体" w:hAnsi="黑体" w:eastAsia="黑体"/>
          <w:sz w:val="32"/>
          <w:szCs w:val="32"/>
        </w:rPr>
      </w:pPr>
      <w:r>
        <w:rPr>
          <w:rFonts w:hint="eastAsia" w:ascii="仿宋_GB2312" w:hAnsi="仿宋_GB2312" w:eastAsia="仿宋_GB2312" w:cs="仿宋_GB2312"/>
          <w:sz w:val="32"/>
          <w:szCs w:val="32"/>
        </w:rPr>
        <w:t xml:space="preserve">    面对</w:t>
      </w:r>
      <w:r>
        <w:rPr>
          <w:rFonts w:hint="default" w:ascii="仿宋_GB2312" w:hAnsi="仿宋_GB2312" w:eastAsia="仿宋_GB2312" w:cs="仿宋_GB2312"/>
          <w:sz w:val="32"/>
          <w:szCs w:val="32"/>
          <w:lang w:val="en-US"/>
        </w:rPr>
        <w:t>市第十一次党代会</w:t>
      </w:r>
      <w:r>
        <w:rPr>
          <w:rFonts w:hint="eastAsia" w:ascii="仿宋_GB2312" w:hAnsi="仿宋_GB2312" w:eastAsia="仿宋_GB2312" w:cs="仿宋_GB2312"/>
          <w:sz w:val="32"/>
          <w:szCs w:val="32"/>
        </w:rPr>
        <w:t>提出的宏伟目标和城市发展阶段性目标任务，我们将在2017年继续不断提升文化生产力水平，充分发挥文化在国家中心城市建设中的引领和支撑作用，努力构建具有国内外影响力、亲和力和感染力的大文化体系。</w:t>
      </w:r>
    </w:p>
    <w:p>
      <w:pPr>
        <w:spacing w:line="540" w:lineRule="exact"/>
        <w:ind w:firstLine="640"/>
        <w:rPr>
          <w:rFonts w:ascii="仿宋_GB2312" w:hAnsi="仿宋_GB2312" w:eastAsia="仿宋_GB2312" w:cs="仿宋_GB2312"/>
          <w:sz w:val="32"/>
          <w:szCs w:val="32"/>
        </w:rPr>
      </w:pPr>
      <w:r>
        <w:rPr>
          <w:rFonts w:hint="eastAsia" w:ascii="楷体" w:hAnsi="楷体" w:eastAsia="楷体" w:cs="楷体"/>
          <w:sz w:val="32"/>
          <w:szCs w:val="32"/>
        </w:rPr>
        <w:t>（一）构建现代公共文化服务体系。</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抓好重大政策落地。推进《郑州市公共文化设施管理条例》《郑州市非物质文化遗产保护条例》调研立项工作。</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抓好重大文化项目建设。推进市民公共文化服务区、郑州图书馆新馆、郑州数字文化馆、“三级三类”便民服务中心等项目建设。</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抓好重大文化惠民工程。继续抓好千场演出、情暖新春等文艺演出惠民品牌，实施好农村公益电影放映、无线数字电视传输覆盖网建设、农家书屋补充更新等惠民工程。加快图书馆、文化馆总分馆制度建设，建设郑州市公共文化数字云平台和城市24小时自助图书馆系统，打通公共文化服务最后一公里。</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抓好重点群众性文化活动。开展不同层次和规模的文艺汇演、文化艺术节，调动群众文化创造活力，夯实群众文化繁荣的根基。</w:t>
      </w:r>
    </w:p>
    <w:p>
      <w:pPr>
        <w:spacing w:line="540" w:lineRule="exact"/>
        <w:rPr>
          <w:rFonts w:ascii="仿宋_GB2312" w:hAnsi="仿宋_GB2312" w:eastAsia="仿宋_GB2312" w:cs="仿宋_GB2312"/>
          <w:sz w:val="32"/>
          <w:szCs w:val="32"/>
        </w:rPr>
      </w:pPr>
      <w:r>
        <w:rPr>
          <w:rFonts w:hint="eastAsia" w:ascii="楷体" w:hAnsi="楷体" w:eastAsia="楷体" w:cs="楷体"/>
          <w:sz w:val="32"/>
          <w:szCs w:val="32"/>
        </w:rPr>
        <w:t xml:space="preserve">    （二）构建优秀传统文化传承体系。</w:t>
      </w: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实施戏曲振兴计划。　　　　做好“关于扶持我市地方戏曲发展的政策”调研工作，争取早日出台。举办2017年郑州市声乐器乐大赛，组织参加省十四届戏剧大赛，开展优秀剧本征集活动，促进文艺精品创作，切实提高我市戏剧创作水平。</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推进非遗保护体系建设。充分利用郑州市丰富的非遗资源，大力加强我市非遗保护利用设施和非遗展示馆、传习所建设，编制国家级代表性项目整体性保护规划，重点打造中原非物质文化遗产博览园、超化吹歌演出排练厅、登封窑传习展示厅等场馆，探索非遗保护传承新途径、新模式。</w:t>
      </w:r>
      <w:r>
        <w:rPr>
          <w:rFonts w:hint="eastAsia" w:ascii="仿宋_GB2312" w:hAnsi="仿宋_GB2312" w:eastAsia="仿宋_GB2312" w:cs="仿宋_GB2312"/>
          <w:b/>
          <w:sz w:val="32"/>
          <w:szCs w:val="32"/>
        </w:rPr>
        <w:t>三是</w:t>
      </w:r>
      <w:r>
        <w:rPr>
          <w:rFonts w:hint="eastAsia" w:ascii="仿宋_GB2312" w:hAnsi="仿宋_GB2312" w:eastAsia="仿宋_GB2312" w:cs="仿宋_GB2312"/>
          <w:sz w:val="32"/>
          <w:szCs w:val="32"/>
        </w:rPr>
        <w:t>抓好优秀传统文化传承创新。鼓励美术馆、图书馆、非遗保护中心等文化单位开发各类文化创意产品，推动历史文化资源真正“活起来”；推进非遗与扶贫开发、生态旅游以及新型城镇化、社会主义新农村建设相结合，推动特色小镇、美丽乡村建设。</w:t>
      </w:r>
    </w:p>
    <w:p>
      <w:pPr>
        <w:spacing w:line="540" w:lineRule="exact"/>
        <w:ind w:firstLine="640"/>
        <w:rPr>
          <w:rFonts w:ascii="仿宋_GB2312" w:hAnsi="仿宋_GB2312" w:eastAsia="仿宋_GB2312" w:cs="仿宋_GB2312"/>
          <w:sz w:val="32"/>
          <w:szCs w:val="32"/>
        </w:rPr>
      </w:pPr>
      <w:r>
        <w:rPr>
          <w:rFonts w:hint="eastAsia" w:ascii="楷体" w:hAnsi="楷体" w:eastAsia="楷体" w:cs="楷体"/>
          <w:sz w:val="32"/>
          <w:szCs w:val="32"/>
        </w:rPr>
        <w:t>（三）构建现代文化市场管理体系。</w:t>
      </w: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规范提升行政审批制度改革。持续深化“五单一网”制度改革，培育壮大市场主体，引导文化市场领域转型升级。</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推进文化市场改革。着力推进文化市场综合执法改革取得实质性进展，探索文化市场监管长效机制，积极构建现代文化市场体系。</w:t>
      </w:r>
      <w:r>
        <w:rPr>
          <w:rFonts w:hint="eastAsia" w:ascii="仿宋_GB2312" w:hAnsi="仿宋_GB2312" w:eastAsia="仿宋_GB2312" w:cs="仿宋_GB2312"/>
          <w:b/>
          <w:sz w:val="32"/>
          <w:szCs w:val="32"/>
        </w:rPr>
        <w:t>三是</w:t>
      </w:r>
      <w:r>
        <w:rPr>
          <w:rFonts w:hint="eastAsia" w:ascii="仿宋_GB2312" w:hAnsi="仿宋_GB2312" w:eastAsia="仿宋_GB2312" w:cs="仿宋_GB2312"/>
          <w:sz w:val="32"/>
          <w:szCs w:val="32"/>
        </w:rPr>
        <w:t>加强文化市场监管。深入开展“扫黄打非”五大专项行动，完善“扫黄打非”进基层的运行机制。继续加强以网格为载体的文化市场管理长效机制建设，保证网格力量配置与管理对象分布相适应。</w:t>
      </w:r>
    </w:p>
    <w:p>
      <w:pPr>
        <w:spacing w:line="540" w:lineRule="exact"/>
        <w:rPr>
          <w:rFonts w:ascii="仿宋_GB2312" w:hAnsi="仿宋_GB2312" w:eastAsia="仿宋_GB2312" w:cs="仿宋_GB2312"/>
          <w:sz w:val="32"/>
          <w:szCs w:val="32"/>
        </w:rPr>
      </w:pPr>
      <w:r>
        <w:rPr>
          <w:rFonts w:hint="eastAsia" w:ascii="楷体" w:hAnsi="楷体" w:eastAsia="楷体" w:cs="楷体"/>
          <w:sz w:val="32"/>
          <w:szCs w:val="32"/>
        </w:rPr>
        <w:t xml:space="preserve">   （四）构建现代文化产业体系。</w:t>
      </w:r>
      <w:r>
        <w:rPr>
          <w:rFonts w:hint="eastAsia" w:ascii="仿宋_GB2312" w:hAnsi="仿宋_GB2312" w:eastAsia="仿宋_GB2312" w:cs="仿宋_GB2312"/>
          <w:sz w:val="32"/>
          <w:szCs w:val="32"/>
        </w:rPr>
        <w:t xml:space="preserve">认真贯彻落实《郑州市“十三五”文化事业产业发展专项规划》，着力发展优势文化创意行业，重点发展动漫游戏、影视制作等8大文化创意行业，实施郑州国际文化创意产业园等6大主导产业项目，实施一批具有引导性和带动性的重大项目，推动文化产业成为国民经济支柱产业，努力把郑州建设成为全国重要的文化产业基地和国际知名文化城市。加快推进引导城乡居民扩大文化消费试点城市项目，陆续安排试点专项资金2500万元，引导城乡居民扩大文化消费，推动我市文化消费总体规模持续增长。   </w:t>
      </w:r>
    </w:p>
    <w:p>
      <w:pPr>
        <w:spacing w:line="54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（五）构建对外文化交流体系。</w:t>
      </w:r>
      <w:r>
        <w:rPr>
          <w:rFonts w:hint="eastAsia" w:ascii="仿宋_GB2312" w:hAnsi="仿宋_GB2312" w:eastAsia="仿宋_GB2312" w:cs="仿宋_GB2312"/>
          <w:sz w:val="32"/>
          <w:szCs w:val="32"/>
        </w:rPr>
        <w:t>积极承办国际性文化活动和赛事，以黄帝拜祖大典、国际街舞大赛等为牵引，继续举办郑州国际马戏嘉年华等活动，提升郑州文化软实力。大力宣传弘扬根亲文化、功夫（少林）文化等郑州文化符号，讲好“郑州故事”，加大宣传推广力度，传播扩大郑州文化的影响力。大力实施“引进来”和“走出去”战略，加强与“一带一路”国际间的文化交流与合作。继续开展“大地情深”“春雨工程”，促进公共文化示范区（项目）之间的文化交流。</w:t>
      </w:r>
    </w:p>
    <w:p>
      <w:pPr>
        <w:spacing w:line="540" w:lineRule="exact"/>
        <w:rPr>
          <w:rFonts w:ascii="仿宋_GB2312" w:hAnsi="仿宋_GB2312" w:eastAsia="仿宋_GB2312" w:cs="仿宋_GB2312"/>
          <w:sz w:val="32"/>
          <w:szCs w:val="32"/>
        </w:rPr>
      </w:pPr>
      <w:r>
        <w:rPr>
          <w:rFonts w:hint="eastAsia" w:ascii="楷体" w:hAnsi="楷体" w:eastAsia="楷体" w:cs="楷体"/>
          <w:sz w:val="32"/>
          <w:szCs w:val="32"/>
        </w:rPr>
        <w:t xml:space="preserve">   （六）构建现代传媒管理体系。</w:t>
      </w: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加强阵地建设，守住安全播出底线。</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加强行业建设水平，推进媒体融合发展。</w:t>
      </w:r>
      <w:r>
        <w:rPr>
          <w:rFonts w:hint="eastAsia" w:ascii="仿宋_GB2312" w:hAnsi="仿宋_GB2312" w:eastAsia="仿宋_GB2312" w:cs="仿宋_GB2312"/>
          <w:b/>
          <w:sz w:val="32"/>
          <w:szCs w:val="32"/>
        </w:rPr>
        <w:t>三是</w:t>
      </w:r>
      <w:r>
        <w:rPr>
          <w:rFonts w:hint="eastAsia" w:ascii="仿宋_GB2312" w:hAnsi="仿宋_GB2312" w:eastAsia="仿宋_GB2312" w:cs="仿宋_GB2312"/>
          <w:sz w:val="32"/>
          <w:szCs w:val="32"/>
        </w:rPr>
        <w:t>强化新闻媒体品牌化建设，培育一批品牌栏目、品牌频道，培养一批名编辑、名记者、名主持人。</w:t>
      </w:r>
      <w:r>
        <w:rPr>
          <w:rFonts w:hint="eastAsia" w:ascii="仿宋_GB2312" w:hAnsi="仿宋_GB2312" w:eastAsia="仿宋_GB2312" w:cs="仿宋_GB2312"/>
          <w:b/>
          <w:sz w:val="32"/>
          <w:szCs w:val="32"/>
        </w:rPr>
        <w:t>四是</w:t>
      </w:r>
      <w:r>
        <w:rPr>
          <w:rFonts w:hint="eastAsia" w:ascii="仿宋_GB2312" w:hAnsi="仿宋_GB2312" w:eastAsia="仿宋_GB2312" w:cs="仿宋_GB2312"/>
          <w:sz w:val="32"/>
          <w:szCs w:val="32"/>
        </w:rPr>
        <w:t>积极创造影视产业发展的宽松环境，实现影视制作产业的集聚发展。</w:t>
      </w:r>
    </w:p>
    <w:p>
      <w:pPr>
        <w:spacing w:line="54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（七）构建现代新闻出版产业体系。</w:t>
      </w: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推进新闻出版行业载体建设。以“绿城读书节”为载体推进全民阅读，促进书香郑州建设；推进郑州绿色印刷包装文化旅游创意产业园建设，打造特色文化小镇；办好印刷包装产品博览会、郑州图书交易会。</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引导印刷发行业经营转型，研究制定扶持民营实体书店工作意见。推动印刷发行业利用互联网、大数据平台，促进企业线上线下业务融合发展。</w:t>
      </w:r>
      <w:r>
        <w:rPr>
          <w:rFonts w:hint="eastAsia" w:ascii="仿宋_GB2312" w:hAnsi="仿宋_GB2312" w:eastAsia="仿宋_GB2312" w:cs="仿宋_GB2312"/>
          <w:b/>
          <w:sz w:val="32"/>
          <w:szCs w:val="32"/>
        </w:rPr>
        <w:t>三是</w:t>
      </w:r>
      <w:r>
        <w:rPr>
          <w:rFonts w:hint="eastAsia" w:ascii="仿宋_GB2312" w:hAnsi="仿宋_GB2312" w:eastAsia="仿宋_GB2312" w:cs="仿宋_GB2312"/>
          <w:sz w:val="32"/>
          <w:szCs w:val="32"/>
        </w:rPr>
        <w:t>建立覆盖全市的版权公共服务布局。培育新闻出版社会服务组织，依托现有各类园区（基地），构建综合性新闻出版要素市场，启动国家、省“版权示范城市、示范单位和示范园区（基地）”创建活动，大力推动郑州版权贸易和绿色印刷项目快速发展。</w:t>
      </w:r>
    </w:p>
    <w:p>
      <w:pPr>
        <w:spacing w:line="54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（八）实施文化精品创作工程。</w:t>
      </w:r>
      <w:r>
        <w:rPr>
          <w:rFonts w:hint="eastAsia" w:ascii="仿宋_GB2312" w:hAnsi="仿宋_GB2312" w:eastAsia="仿宋_GB2312" w:cs="仿宋_GB2312"/>
          <w:sz w:val="32"/>
          <w:szCs w:val="32"/>
        </w:rPr>
        <w:t>实施重大文化工程和文化名家工程，充分做好豫剧《朝阳城》、曲剧《李三娘》创排的前期准备工作，推动大型舞剧《花木兰》的立项、创排工作，实施网络文艺精品创作计划，举办面向全国性优秀剧本征集活动，重点扶持立项演出优秀剧本。积极实施戏曲振兴工程，为全体人民提供昂扬向上、多姿多彩、怡养情怀的精神食粮。</w:t>
      </w:r>
    </w:p>
    <w:p>
      <w:pPr>
        <w:spacing w:line="540" w:lineRule="exact"/>
        <w:ind w:firstLine="640"/>
        <w:rPr>
          <w:rFonts w:ascii="仿宋_GB2312" w:hAnsi="仿宋_GB2312" w:eastAsia="仿宋_GB2312" w:cs="仿宋_GB2312"/>
          <w:sz w:val="32"/>
          <w:szCs w:val="32"/>
        </w:rPr>
      </w:pPr>
      <w:r>
        <w:rPr>
          <w:rFonts w:hint="default" w:ascii="仿宋_GB2312" w:hAnsi="仿宋_GB2312" w:eastAsia="仿宋_GB2312" w:cs="仿宋_GB2312"/>
          <w:sz w:val="32"/>
          <w:szCs w:val="32"/>
          <w:lang w:val="en-US"/>
        </w:rPr>
        <w:t>市第十一次党代会</w:t>
      </w:r>
      <w:r>
        <w:rPr>
          <w:rFonts w:hint="eastAsia" w:ascii="仿宋_GB2312" w:hAnsi="仿宋_GB2312" w:eastAsia="仿宋_GB2312" w:cs="仿宋_GB2312"/>
          <w:sz w:val="32"/>
          <w:szCs w:val="32"/>
        </w:rPr>
        <w:t>为我们描绘了发展蓝图、明确了奋斗目标、指明了发展路径，我们将紧紧围绕市委市政府决策部署，坚定文化自信、强化文化担当，牢记发展使命，把握发展机遇，担当发展责任，坚持以文化人、不忘初心、继续前进，提升文化软实力和核心竞争力，为建设国家中心城市作出新的更大贡献。</w:t>
      </w:r>
    </w:p>
    <w:sectPr>
      <w:footerReference r:id="rId3" w:type="default"/>
      <w:pgSz w:w="11906" w:h="16838"/>
      <w:pgMar w:top="2041" w:right="1531" w:bottom="204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ˎ̥">
    <w:altName w:val="华文仿宋"/>
    <w:panose1 w:val="00000000000000000000"/>
    <w:charset w:val="01"/>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新宋体">
    <w:altName w:val="方正书宋_GBK"/>
    <w:panose1 w:val="0201060903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rect id="文本框 1" o:spid="_x0000_s4097" o:spt="1" style="position:absolute;left:0pt;margin-top:0pt;height:144pt;width:144pt;mso-position-horizontal:center;mso-position-horizontal-relative:margin;mso-wrap-style:none;z-index:251659264;mso-width-relative:page;mso-height-relative:page;" filled="f" o:preferrelative="t" stroked="f" coordsize="21600,21600">
          <v:path/>
          <v:fill on="f" focussize="0,0"/>
          <v:stroke on="f"/>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B93C98"/>
    <w:rsid w:val="00057EEC"/>
    <w:rsid w:val="0008089D"/>
    <w:rsid w:val="000837F9"/>
    <w:rsid w:val="000C1DC1"/>
    <w:rsid w:val="000D7F18"/>
    <w:rsid w:val="000F3010"/>
    <w:rsid w:val="001213DD"/>
    <w:rsid w:val="00155957"/>
    <w:rsid w:val="001E1C42"/>
    <w:rsid w:val="001F0B84"/>
    <w:rsid w:val="00280519"/>
    <w:rsid w:val="002A2BEC"/>
    <w:rsid w:val="002A510B"/>
    <w:rsid w:val="002F6C6A"/>
    <w:rsid w:val="00315B1F"/>
    <w:rsid w:val="00374B8F"/>
    <w:rsid w:val="00420443"/>
    <w:rsid w:val="0043202B"/>
    <w:rsid w:val="00475C76"/>
    <w:rsid w:val="004852FE"/>
    <w:rsid w:val="00487730"/>
    <w:rsid w:val="004914E4"/>
    <w:rsid w:val="005006E9"/>
    <w:rsid w:val="00506957"/>
    <w:rsid w:val="00574178"/>
    <w:rsid w:val="006057E3"/>
    <w:rsid w:val="00640E5E"/>
    <w:rsid w:val="006E54A5"/>
    <w:rsid w:val="006F4FFE"/>
    <w:rsid w:val="0071044F"/>
    <w:rsid w:val="00721B44"/>
    <w:rsid w:val="00755EA2"/>
    <w:rsid w:val="00794C70"/>
    <w:rsid w:val="00800C4E"/>
    <w:rsid w:val="00801A71"/>
    <w:rsid w:val="00807C2E"/>
    <w:rsid w:val="00825E4A"/>
    <w:rsid w:val="00837973"/>
    <w:rsid w:val="00850E85"/>
    <w:rsid w:val="00890DAB"/>
    <w:rsid w:val="008D7A90"/>
    <w:rsid w:val="008F28FD"/>
    <w:rsid w:val="00900880"/>
    <w:rsid w:val="00914A96"/>
    <w:rsid w:val="00917F77"/>
    <w:rsid w:val="00924035"/>
    <w:rsid w:val="00931271"/>
    <w:rsid w:val="00935CA5"/>
    <w:rsid w:val="009505A8"/>
    <w:rsid w:val="00993CD2"/>
    <w:rsid w:val="009B3E43"/>
    <w:rsid w:val="009C56A5"/>
    <w:rsid w:val="009F4340"/>
    <w:rsid w:val="00A729F0"/>
    <w:rsid w:val="00AF0620"/>
    <w:rsid w:val="00B06FAC"/>
    <w:rsid w:val="00B31C16"/>
    <w:rsid w:val="00B52ECA"/>
    <w:rsid w:val="00B93C98"/>
    <w:rsid w:val="00BA3432"/>
    <w:rsid w:val="00BD494A"/>
    <w:rsid w:val="00BE0EB7"/>
    <w:rsid w:val="00C2088B"/>
    <w:rsid w:val="00C718C2"/>
    <w:rsid w:val="00CC3A2B"/>
    <w:rsid w:val="00CE7E04"/>
    <w:rsid w:val="00D0507A"/>
    <w:rsid w:val="00D20C85"/>
    <w:rsid w:val="00D331C4"/>
    <w:rsid w:val="00D6559E"/>
    <w:rsid w:val="00DB347B"/>
    <w:rsid w:val="00DE4FCC"/>
    <w:rsid w:val="00E36FA6"/>
    <w:rsid w:val="00E52E45"/>
    <w:rsid w:val="00E56FDD"/>
    <w:rsid w:val="00E81617"/>
    <w:rsid w:val="00E874D0"/>
    <w:rsid w:val="00EA507D"/>
    <w:rsid w:val="00ED6FDF"/>
    <w:rsid w:val="00EE1970"/>
    <w:rsid w:val="00F017B3"/>
    <w:rsid w:val="00F22202"/>
    <w:rsid w:val="00F41073"/>
    <w:rsid w:val="00F601FC"/>
    <w:rsid w:val="00F609D9"/>
    <w:rsid w:val="00FA30D4"/>
    <w:rsid w:val="01FF7812"/>
    <w:rsid w:val="09AD3C91"/>
    <w:rsid w:val="0FB107E1"/>
    <w:rsid w:val="109775EE"/>
    <w:rsid w:val="1A302B08"/>
    <w:rsid w:val="1BC00D24"/>
    <w:rsid w:val="2A9066E1"/>
    <w:rsid w:val="2CCB2B4B"/>
    <w:rsid w:val="34C544B9"/>
    <w:rsid w:val="36557A31"/>
    <w:rsid w:val="39AC3965"/>
    <w:rsid w:val="3D29111E"/>
    <w:rsid w:val="4AEB316C"/>
    <w:rsid w:val="4C5B451E"/>
    <w:rsid w:val="4E066CF7"/>
    <w:rsid w:val="53E07C6B"/>
    <w:rsid w:val="540B1077"/>
    <w:rsid w:val="555D25B7"/>
    <w:rsid w:val="57787904"/>
    <w:rsid w:val="5F39568F"/>
    <w:rsid w:val="605846AA"/>
    <w:rsid w:val="62320595"/>
    <w:rsid w:val="67361CDB"/>
    <w:rsid w:val="6DA20111"/>
    <w:rsid w:val="6E0B4D9B"/>
    <w:rsid w:val="6EEF46BC"/>
    <w:rsid w:val="76D64621"/>
    <w:rsid w:val="9EFCC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widowControl/>
      <w:spacing w:before="100" w:beforeAutospacing="1" w:after="100" w:afterAutospacing="1"/>
      <w:jc w:val="left"/>
    </w:pPr>
    <w:rPr>
      <w:rFonts w:ascii="ˎ̥" w:hAnsi="ˎ̥" w:cs="宋体"/>
      <w:kern w:val="0"/>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13</Pages>
  <Words>1158</Words>
  <Characters>6602</Characters>
  <Lines>55</Lines>
  <Paragraphs>15</Paragraphs>
  <TotalTime>2</TotalTime>
  <ScaleCrop>false</ScaleCrop>
  <LinksUpToDate>false</LinksUpToDate>
  <CharactersWithSpaces>7745</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2016-12-19T15:16:00Z</dcterms:created>
  <dc:creator>Administrator</dc:creator>
  <cp:lastModifiedBy>greatwall</cp:lastModifiedBy>
  <cp:lastPrinted>2016-11-11T18:38:00Z</cp:lastPrinted>
  <dcterms:modified xsi:type="dcterms:W3CDTF">2023-03-28T15:23:21Z</dcterms:modified>
  <dc:title>郑州市文化广电新闻出版局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0883A756F239E4A5E99522643AA85AE6</vt:lpwstr>
  </property>
</Properties>
</file>