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宋体" w:hAnsi="宋体" w:eastAsia="宋体" w:cs="宋体"/>
          <w:i w:val="0"/>
          <w:caps w:val="0"/>
          <w:color w:val="333333"/>
          <w:spacing w:val="0"/>
          <w:sz w:val="24"/>
          <w:szCs w:val="24"/>
          <w:lang w:val="en-US" w:eastAsia="zh-CN"/>
        </w:rPr>
      </w:pPr>
      <w:bookmarkStart w:id="0" w:name="_GoBack"/>
      <w:bookmarkEnd w:id="0"/>
      <w:r>
        <w:rPr>
          <w:rFonts w:hint="eastAsia" w:ascii="宋体" w:hAnsi="宋体" w:eastAsia="宋体" w:cs="宋体"/>
          <w:b/>
          <w:i w:val="0"/>
          <w:caps w:val="0"/>
          <w:color w:val="333333"/>
          <w:spacing w:val="0"/>
          <w:sz w:val="36"/>
          <w:szCs w:val="36"/>
          <w:shd w:val="clear" w:fill="FFFFFF"/>
        </w:rPr>
        <w:br w:type="textWrapping"/>
      </w:r>
      <w:r>
        <w:rPr>
          <w:rFonts w:hint="eastAsia" w:ascii="宋体" w:hAnsi="宋体" w:eastAsia="宋体" w:cs="宋体"/>
          <w:b/>
          <w:i w:val="0"/>
          <w:caps w:val="0"/>
          <w:color w:val="333333"/>
          <w:spacing w:val="0"/>
          <w:sz w:val="36"/>
          <w:szCs w:val="36"/>
          <w:shd w:val="clear" w:fill="FFFFFF"/>
          <w:lang w:val="en-US" w:eastAsia="zh-CN"/>
        </w:rPr>
        <w:t>惠济区卫生健康委员会2019年政府信息公开工作年度报告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leftChars="0" w:right="0" w:firstLine="640" w:firstLineChars="200"/>
        <w:jc w:val="both"/>
        <w:textAlignment w:val="auto"/>
        <w:outlineLvl w:val="9"/>
        <w:rPr>
          <w:rFonts w:hint="eastAsia" w:ascii="微软雅黑" w:hAnsi="微软雅黑" w:eastAsia="微软雅黑" w:cs="微软雅黑"/>
          <w:i w:val="0"/>
          <w:caps w:val="0"/>
          <w:color w:val="444444"/>
          <w:spacing w:val="0"/>
          <w:sz w:val="28"/>
          <w:szCs w:val="28"/>
        </w:rPr>
      </w:pPr>
      <w:r>
        <w:rPr>
          <w:rFonts w:hint="eastAsia" w:ascii="仿宋_GB2312" w:eastAsia="仿宋_GB2312"/>
          <w:sz w:val="32"/>
          <w:szCs w:val="32"/>
        </w:rPr>
        <w:t>（一）主动公开政府信息的情况。2019年，惠济区卫生健康系统主动公开政府信息81条。其中印发规范性文件9份。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leftChars="0" w:right="0" w:firstLine="640" w:firstLineChars="200"/>
        <w:jc w:val="both"/>
        <w:textAlignment w:val="auto"/>
        <w:outlineLvl w:val="9"/>
        <w:rPr>
          <w:rFonts w:hint="eastAsia" w:ascii="微软雅黑" w:hAnsi="微软雅黑" w:eastAsia="微软雅黑" w:cs="微软雅黑"/>
          <w:i w:val="0"/>
          <w:caps w:val="0"/>
          <w:color w:val="444444"/>
          <w:spacing w:val="0"/>
          <w:sz w:val="28"/>
          <w:szCs w:val="28"/>
        </w:rPr>
      </w:pPr>
      <w:r>
        <w:rPr>
          <w:rFonts w:hint="eastAsia" w:ascii="仿宋_GB2312" w:eastAsia="仿宋_GB2312"/>
          <w:sz w:val="32"/>
          <w:szCs w:val="32"/>
        </w:rPr>
        <w:t>（二）依申请公开和不予公开政府信息的情况。2019年，惠济区卫健委未收到政府信息公开的申请，因此，没有依申请公开和不予公开的政府信息。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leftChars="0" w:right="0" w:firstLine="640" w:firstLineChars="200"/>
        <w:jc w:val="both"/>
        <w:textAlignment w:val="auto"/>
        <w:outlineLvl w:val="9"/>
        <w:rPr>
          <w:rFonts w:hint="eastAsia" w:ascii="微软雅黑" w:hAnsi="微软雅黑" w:eastAsia="微软雅黑" w:cs="微软雅黑"/>
          <w:i w:val="0"/>
          <w:caps w:val="0"/>
          <w:color w:val="444444"/>
          <w:spacing w:val="0"/>
          <w:sz w:val="28"/>
          <w:szCs w:val="28"/>
        </w:rPr>
      </w:pPr>
      <w:r>
        <w:rPr>
          <w:rFonts w:hint="eastAsia" w:ascii="仿宋_GB2312" w:eastAsia="仿宋_GB2312"/>
          <w:sz w:val="32"/>
          <w:szCs w:val="32"/>
        </w:rPr>
        <w:t>（三）政府信息公开的收费及减免情况。2019年，惠济区卫健委因未收到政府信息的申请，所以，不存在对政府信息公开的收费和减免费用情况。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leftChars="0" w:right="0" w:firstLine="640" w:firstLineChars="200"/>
        <w:jc w:val="both"/>
        <w:textAlignment w:val="auto"/>
        <w:outlineLvl w:val="9"/>
        <w:rPr>
          <w:rFonts w:hint="eastAsia" w:ascii="微软雅黑" w:hAnsi="微软雅黑" w:eastAsia="微软雅黑" w:cs="微软雅黑"/>
          <w:i w:val="0"/>
          <w:caps w:val="0"/>
          <w:color w:val="444444"/>
          <w:spacing w:val="0"/>
          <w:sz w:val="28"/>
          <w:szCs w:val="28"/>
        </w:rPr>
      </w:pPr>
      <w:r>
        <w:rPr>
          <w:rFonts w:hint="eastAsia" w:ascii="仿宋_GB2312" w:eastAsia="仿宋_GB2312"/>
          <w:sz w:val="32"/>
          <w:szCs w:val="32"/>
        </w:rPr>
        <w:t>（四）因政府信息公开申请行政复议及提起行政诉讼的情况。惠济区卫健委没有因政府信息公开被申请行政复议，提起行政诉讼的情况发生。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二、主动公开政府信息情况</w:t>
      </w:r>
    </w:p>
    <w:tbl>
      <w:tblPr>
        <w:tblStyle w:val="3"/>
        <w:tblW w:w="8620" w:type="dxa"/>
        <w:jc w:val="center"/>
        <w:shd w:val="clear" w:color="auto" w:fill="auto"/>
        <w:tblLayout w:type="autofit"/>
        <w:tblCellMar>
          <w:top w:w="0" w:type="dxa"/>
          <w:left w:w="0" w:type="dxa"/>
          <w:bottom w:w="0" w:type="dxa"/>
          <w:right w:w="0" w:type="dxa"/>
        </w:tblCellMar>
      </w:tblPr>
      <w:tblGrid>
        <w:gridCol w:w="3296"/>
        <w:gridCol w:w="1985"/>
        <w:gridCol w:w="6"/>
        <w:gridCol w:w="1339"/>
        <w:gridCol w:w="1994"/>
      </w:tblGrid>
      <w:tr>
        <w:tblPrEx>
          <w:tblCellMar>
            <w:top w:w="0" w:type="dxa"/>
            <w:left w:w="0" w:type="dxa"/>
            <w:bottom w:w="0" w:type="dxa"/>
            <w:right w:w="0" w:type="dxa"/>
          </w:tblCellMar>
        </w:tblPrEx>
        <w:trPr>
          <w:trHeight w:val="605" w:hRule="atLeast"/>
          <w:jc w:val="center"/>
        </w:trPr>
        <w:tc>
          <w:tcPr>
            <w:tcW w:w="862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1059" w:hRule="atLeast"/>
          <w:jc w:val="center"/>
        </w:trPr>
        <w:tc>
          <w:tcPr>
            <w:tcW w:w="329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98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345"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199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shd w:val="clear" w:color="auto" w:fill="auto"/>
          <w:tblCellMar>
            <w:top w:w="0" w:type="dxa"/>
            <w:left w:w="0" w:type="dxa"/>
            <w:bottom w:w="0" w:type="dxa"/>
            <w:right w:w="0" w:type="dxa"/>
          </w:tblCellMar>
        </w:tblPrEx>
        <w:trPr>
          <w:trHeight w:val="638" w:hRule="atLeast"/>
          <w:jc w:val="center"/>
        </w:trPr>
        <w:tc>
          <w:tcPr>
            <w:tcW w:w="329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p>
        </w:tc>
        <w:tc>
          <w:tcPr>
            <w:tcW w:w="198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c>
          <w:tcPr>
            <w:tcW w:w="134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99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r>
      <w:tr>
        <w:tblPrEx>
          <w:shd w:val="clear" w:color="auto" w:fill="auto"/>
          <w:tblCellMar>
            <w:top w:w="0" w:type="dxa"/>
            <w:left w:w="0" w:type="dxa"/>
            <w:bottom w:w="0" w:type="dxa"/>
            <w:right w:w="0" w:type="dxa"/>
          </w:tblCellMar>
        </w:tblPrEx>
        <w:trPr>
          <w:trHeight w:val="601" w:hRule="atLeast"/>
          <w:jc w:val="center"/>
        </w:trPr>
        <w:tc>
          <w:tcPr>
            <w:tcW w:w="329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98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9</w:t>
            </w:r>
          </w:p>
        </w:tc>
        <w:tc>
          <w:tcPr>
            <w:tcW w:w="134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9</w:t>
            </w:r>
          </w:p>
        </w:tc>
        <w:tc>
          <w:tcPr>
            <w:tcW w:w="199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9</w:t>
            </w:r>
          </w:p>
        </w:tc>
      </w:tr>
      <w:tr>
        <w:tblPrEx>
          <w:shd w:val="clear" w:color="auto" w:fill="auto"/>
          <w:tblCellMar>
            <w:top w:w="0" w:type="dxa"/>
            <w:left w:w="0" w:type="dxa"/>
            <w:bottom w:w="0" w:type="dxa"/>
            <w:right w:w="0" w:type="dxa"/>
          </w:tblCellMar>
        </w:tblPrEx>
        <w:trPr>
          <w:trHeight w:val="601" w:hRule="atLeast"/>
          <w:jc w:val="center"/>
        </w:trPr>
        <w:tc>
          <w:tcPr>
            <w:tcW w:w="862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768" w:hRule="atLeast"/>
          <w:jc w:val="center"/>
        </w:trPr>
        <w:tc>
          <w:tcPr>
            <w:tcW w:w="329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98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345"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99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shd w:val="clear" w:color="auto" w:fill="auto"/>
          <w:tblCellMar>
            <w:top w:w="0" w:type="dxa"/>
            <w:left w:w="0" w:type="dxa"/>
            <w:bottom w:w="0" w:type="dxa"/>
            <w:right w:w="0" w:type="dxa"/>
          </w:tblCellMar>
        </w:tblPrEx>
        <w:trPr>
          <w:trHeight w:val="643" w:hRule="atLeast"/>
          <w:jc w:val="center"/>
        </w:trPr>
        <w:tc>
          <w:tcPr>
            <w:tcW w:w="329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99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33</w:t>
            </w:r>
          </w:p>
        </w:tc>
        <w:tc>
          <w:tcPr>
            <w:tcW w:w="133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33</w:t>
            </w:r>
          </w:p>
        </w:tc>
        <w:tc>
          <w:tcPr>
            <w:tcW w:w="199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33</w:t>
            </w:r>
          </w:p>
        </w:tc>
      </w:tr>
      <w:tr>
        <w:tblPrEx>
          <w:shd w:val="clear" w:color="auto" w:fill="auto"/>
          <w:tblCellMar>
            <w:top w:w="0" w:type="dxa"/>
            <w:left w:w="0" w:type="dxa"/>
            <w:bottom w:w="0" w:type="dxa"/>
            <w:right w:w="0" w:type="dxa"/>
          </w:tblCellMar>
        </w:tblPrEx>
        <w:trPr>
          <w:trHeight w:val="669" w:hRule="atLeast"/>
          <w:jc w:val="center"/>
        </w:trPr>
        <w:tc>
          <w:tcPr>
            <w:tcW w:w="329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99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33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99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r>
      <w:tr>
        <w:tblPrEx>
          <w:shd w:val="clear" w:color="auto" w:fill="auto"/>
          <w:tblCellMar>
            <w:top w:w="0" w:type="dxa"/>
            <w:left w:w="0" w:type="dxa"/>
            <w:bottom w:w="0" w:type="dxa"/>
            <w:right w:w="0" w:type="dxa"/>
          </w:tblCellMar>
        </w:tblPrEx>
        <w:trPr>
          <w:trHeight w:val="601" w:hRule="atLeast"/>
          <w:jc w:val="center"/>
        </w:trPr>
        <w:tc>
          <w:tcPr>
            <w:tcW w:w="862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768" w:hRule="atLeast"/>
          <w:jc w:val="center"/>
        </w:trPr>
        <w:tc>
          <w:tcPr>
            <w:tcW w:w="329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98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345"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99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shd w:val="clear" w:color="auto" w:fill="auto"/>
          <w:tblCellMar>
            <w:top w:w="0" w:type="dxa"/>
            <w:left w:w="0" w:type="dxa"/>
            <w:bottom w:w="0" w:type="dxa"/>
            <w:right w:w="0" w:type="dxa"/>
          </w:tblCellMar>
        </w:tblPrEx>
        <w:trPr>
          <w:trHeight w:val="601" w:hRule="atLeast"/>
          <w:jc w:val="center"/>
        </w:trPr>
        <w:tc>
          <w:tcPr>
            <w:tcW w:w="329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99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41</w:t>
            </w:r>
          </w:p>
        </w:tc>
        <w:tc>
          <w:tcPr>
            <w:tcW w:w="133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25</w:t>
            </w:r>
          </w:p>
        </w:tc>
        <w:tc>
          <w:tcPr>
            <w:tcW w:w="199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41</w:t>
            </w:r>
          </w:p>
        </w:tc>
      </w:tr>
      <w:tr>
        <w:tblPrEx>
          <w:tblCellMar>
            <w:top w:w="0" w:type="dxa"/>
            <w:left w:w="0" w:type="dxa"/>
            <w:bottom w:w="0" w:type="dxa"/>
            <w:right w:w="0" w:type="dxa"/>
          </w:tblCellMar>
        </w:tblPrEx>
        <w:trPr>
          <w:trHeight w:val="601" w:hRule="atLeast"/>
          <w:jc w:val="center"/>
        </w:trPr>
        <w:tc>
          <w:tcPr>
            <w:tcW w:w="329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99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33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c>
          <w:tcPr>
            <w:tcW w:w="199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0</w:t>
            </w:r>
          </w:p>
        </w:tc>
      </w:tr>
      <w:tr>
        <w:tblPrEx>
          <w:shd w:val="clear" w:color="auto" w:fill="auto"/>
          <w:tblCellMar>
            <w:top w:w="0" w:type="dxa"/>
            <w:left w:w="0" w:type="dxa"/>
            <w:bottom w:w="0" w:type="dxa"/>
            <w:right w:w="0" w:type="dxa"/>
          </w:tblCellMar>
        </w:tblPrEx>
        <w:trPr>
          <w:trHeight w:val="601" w:hRule="atLeast"/>
          <w:jc w:val="center"/>
        </w:trPr>
        <w:tc>
          <w:tcPr>
            <w:tcW w:w="862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601" w:hRule="atLeast"/>
          <w:jc w:val="center"/>
        </w:trPr>
        <w:tc>
          <w:tcPr>
            <w:tcW w:w="329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99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3333"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shd w:val="clear" w:color="auto" w:fill="auto"/>
          <w:tblCellMar>
            <w:top w:w="0" w:type="dxa"/>
            <w:left w:w="0" w:type="dxa"/>
            <w:bottom w:w="0" w:type="dxa"/>
            <w:right w:w="0" w:type="dxa"/>
          </w:tblCellMar>
        </w:tblPrEx>
        <w:trPr>
          <w:trHeight w:val="670" w:hRule="atLeast"/>
          <w:jc w:val="center"/>
        </w:trPr>
        <w:tc>
          <w:tcPr>
            <w:tcW w:w="329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199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4</w:t>
            </w:r>
          </w:p>
        </w:tc>
        <w:tc>
          <w:tcPr>
            <w:tcW w:w="3333"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15 </w:t>
            </w:r>
          </w:p>
        </w:tc>
      </w:tr>
      <w:tr>
        <w:tblPrEx>
          <w:tblCellMar>
            <w:top w:w="0" w:type="dxa"/>
            <w:left w:w="0" w:type="dxa"/>
            <w:bottom w:w="0" w:type="dxa"/>
            <w:right w:w="0" w:type="dxa"/>
          </w:tblCellMar>
        </w:tblPrEx>
        <w:trPr>
          <w:trHeight w:val="601" w:hRule="atLeast"/>
          <w:jc w:val="center"/>
        </w:trPr>
        <w:tc>
          <w:tcPr>
            <w:tcW w:w="862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tblCellMar>
            <w:top w:w="0" w:type="dxa"/>
            <w:left w:w="0" w:type="dxa"/>
            <w:bottom w:w="0" w:type="dxa"/>
            <w:right w:w="0" w:type="dxa"/>
          </w:tblCellMar>
        </w:tblPrEx>
        <w:trPr>
          <w:trHeight w:val="710" w:hRule="atLeast"/>
          <w:jc w:val="center"/>
        </w:trPr>
        <w:tc>
          <w:tcPr>
            <w:tcW w:w="329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99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333"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采购总金额（单位：万元，保留4位小数）</w:t>
            </w:r>
          </w:p>
        </w:tc>
      </w:tr>
      <w:tr>
        <w:tblPrEx>
          <w:shd w:val="clear" w:color="auto" w:fill="auto"/>
          <w:tblCellMar>
            <w:top w:w="0" w:type="dxa"/>
            <w:left w:w="0" w:type="dxa"/>
            <w:bottom w:w="0" w:type="dxa"/>
            <w:right w:w="0" w:type="dxa"/>
          </w:tblCellMar>
        </w:tblPrEx>
        <w:trPr>
          <w:trHeight w:val="680" w:hRule="atLeast"/>
          <w:jc w:val="center"/>
        </w:trPr>
        <w:tc>
          <w:tcPr>
            <w:tcW w:w="329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政府集中采购</w:t>
            </w:r>
          </w:p>
        </w:tc>
        <w:tc>
          <w:tcPr>
            <w:tcW w:w="199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16</w:t>
            </w:r>
          </w:p>
        </w:tc>
        <w:tc>
          <w:tcPr>
            <w:tcW w:w="3333"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jc w:val="left"/>
              <w:rPr>
                <w:rFonts w:hint="eastAsia" w:ascii="宋体"/>
                <w:sz w:val="24"/>
                <w:szCs w:val="24"/>
              </w:rPr>
            </w:pPr>
            <w:r>
              <w:rPr>
                <w:rFonts w:hint="eastAsia" w:ascii="宋体" w:hAnsi="宋体" w:eastAsia="宋体" w:cs="宋体"/>
                <w:color w:val="000000"/>
                <w:kern w:val="0"/>
                <w:sz w:val="20"/>
                <w:szCs w:val="20"/>
                <w:lang w:val="en-US" w:eastAsia="zh-CN" w:bidi="ar"/>
              </w:rPr>
              <w:t>5,055.676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宋体" w:hAnsi="宋体" w:eastAsia="宋体" w:cs="宋体"/>
          <w:b/>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三、收到和处理政府信息公开申请情况</w:t>
      </w:r>
    </w:p>
    <w:tbl>
      <w:tblPr>
        <w:tblStyle w:val="3"/>
        <w:tblW w:w="979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6"/>
        <w:gridCol w:w="816"/>
        <w:gridCol w:w="616"/>
        <w:gridCol w:w="1107"/>
        <w:gridCol w:w="1107"/>
        <w:gridCol w:w="1107"/>
        <w:gridCol w:w="1107"/>
        <w:gridCol w:w="1107"/>
        <w:gridCol w:w="1107"/>
        <w:gridCol w:w="11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4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774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04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10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553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110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4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10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11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11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11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110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4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3</w:t>
            </w:r>
            <w:r>
              <w:rPr>
                <w:rFonts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4</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4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14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lang w:val="en-US" w:eastAsia="zh-CN" w:bidi="ar"/>
              </w:rPr>
              <w:t>（一）予以公开</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（三）不予公开</w:t>
            </w: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1.属于国家秘密</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3.危及“三安全一稳定”</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4.保护第三方合法权益</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6.属于四类过程性信息</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7.属于行政执法案卷</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3</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8.属于行政查询事项</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（四）无法提供</w:t>
            </w: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（五）不予处理</w:t>
            </w: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1.信访举报投诉类申请</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2.重复申请</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3.要求提供公开出版物</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（六）其他处理</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43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（七）总计</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3</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1</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04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107"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r>
              <w:rPr>
                <w:rFonts w:hint="default" w:ascii="Calibri" w:hAnsi="Calibri" w:cs="Calibri" w:eastAsiaTheme="minorEastAsia"/>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四、政府信息公开行政复议、行政诉讼情况</w:t>
      </w:r>
    </w:p>
    <w:tbl>
      <w:tblPr>
        <w:tblStyle w:val="3"/>
        <w:tblpPr w:leftFromText="180" w:rightFromText="180" w:vertAnchor="text" w:horzAnchor="page" w:tblpXSpec="center" w:tblpY="110"/>
        <w:tblOverlap w:val="never"/>
        <w:tblW w:w="148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01"/>
        <w:gridCol w:w="1006"/>
        <w:gridCol w:w="1006"/>
        <w:gridCol w:w="959"/>
        <w:gridCol w:w="1007"/>
        <w:gridCol w:w="960"/>
        <w:gridCol w:w="960"/>
        <w:gridCol w:w="960"/>
        <w:gridCol w:w="960"/>
        <w:gridCol w:w="964"/>
        <w:gridCol w:w="960"/>
        <w:gridCol w:w="960"/>
        <w:gridCol w:w="960"/>
        <w:gridCol w:w="1166"/>
        <w:gridCol w:w="11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4879"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10020"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901"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100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100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95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100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4804"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52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0" w:hRule="atLeast"/>
          <w:jc w:val="center"/>
        </w:trPr>
        <w:tc>
          <w:tcPr>
            <w:tcW w:w="90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0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0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5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0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9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9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9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96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9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9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9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11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117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40" w:hRule="atLeast"/>
          <w:jc w:val="center"/>
        </w:trPr>
        <w:tc>
          <w:tcPr>
            <w:tcW w:w="90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10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10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Calibri" w:hAnsi="Calibri" w:cs="Calibri"/>
                <w:kern w:val="0"/>
                <w:sz w:val="20"/>
                <w:szCs w:val="20"/>
                <w:lang w:val="en-US" w:eastAsia="zh-CN" w:bidi="ar"/>
              </w:rPr>
              <w:t>0</w:t>
            </w:r>
          </w:p>
        </w:tc>
        <w:tc>
          <w:tcPr>
            <w:tcW w:w="10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Calibri" w:hAnsi="Calibri" w:cs="Calibri"/>
                <w:kern w:val="0"/>
                <w:sz w:val="20"/>
                <w:szCs w:val="20"/>
                <w:lang w:val="en-US" w:eastAsia="zh-CN" w:bidi="ar"/>
              </w:rPr>
              <w:t>0</w:t>
            </w:r>
          </w:p>
        </w:tc>
        <w:tc>
          <w:tcPr>
            <w:tcW w:w="9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Calibri" w:hAnsi="Calibri" w:cs="Calibri"/>
                <w:kern w:val="0"/>
                <w:sz w:val="20"/>
                <w:szCs w:val="20"/>
                <w:lang w:val="en-US" w:eastAsia="zh-CN" w:bidi="ar"/>
              </w:rPr>
              <w:t>0</w:t>
            </w:r>
          </w:p>
        </w:tc>
        <w:tc>
          <w:tcPr>
            <w:tcW w:w="9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9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11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1170"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r>
              <w:rPr>
                <w:rFonts w:hint="eastAsia" w:ascii="Calibri" w:hAnsi="Calibri" w:cs="Calibri"/>
                <w:kern w:val="0"/>
                <w:sz w:val="20"/>
                <w:szCs w:val="20"/>
                <w:lang w:val="en-US" w:eastAsia="zh-CN" w:bidi="ar"/>
              </w:rPr>
              <w:t>0</w:t>
            </w:r>
            <w:r>
              <w:rPr>
                <w:rFonts w:hint="eastAsia" w:ascii="宋体" w:hAnsi="宋体" w:eastAsia="宋体" w:cs="宋体"/>
                <w:kern w:val="0"/>
                <w:sz w:val="20"/>
                <w:szCs w:val="2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r>
        <w:rPr>
          <w:rFonts w:hint="eastAsia" w:ascii="宋体" w:hAnsi="宋体" w:eastAsia="宋体" w:cs="宋体"/>
          <w:b/>
          <w:i w:val="0"/>
          <w:caps w:val="0"/>
          <w:color w:val="333333"/>
          <w:spacing w:val="0"/>
          <w:sz w:val="24"/>
          <w:szCs w:val="24"/>
          <w:shd w:val="clear" w:fill="FFFFFF"/>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leftChars="0" w:right="0" w:firstLine="640" w:firstLineChars="200"/>
        <w:jc w:val="both"/>
        <w:textAlignment w:val="auto"/>
        <w:outlineLvl w:val="9"/>
        <w:rPr>
          <w:rFonts w:hint="eastAsia" w:ascii="微软雅黑" w:hAnsi="微软雅黑" w:eastAsia="微软雅黑" w:cs="微软雅黑"/>
          <w:i w:val="0"/>
          <w:caps w:val="0"/>
          <w:color w:val="444444"/>
          <w:spacing w:val="0"/>
          <w:sz w:val="28"/>
          <w:szCs w:val="28"/>
        </w:rPr>
      </w:pPr>
      <w:r>
        <w:rPr>
          <w:rFonts w:hint="eastAsia" w:ascii="仿宋_GB2312" w:eastAsia="仿宋_GB2312"/>
          <w:sz w:val="32"/>
          <w:szCs w:val="32"/>
        </w:rPr>
        <w:t>2019年，尽管惠济区卫健委政府信息公开工作取得了一定成效，但还存在着一些薄弱环节和不足，主要表现在：信息公开不够及时、全面，信息公开内容形式渠道还不能完全满足公众需求，信息公开流程和制度有待进一步完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leftChars="0" w:right="0" w:firstLine="640" w:firstLineChars="200"/>
        <w:jc w:val="both"/>
        <w:textAlignment w:val="auto"/>
        <w:outlineLvl w:val="9"/>
        <w:rPr>
          <w:rFonts w:hint="eastAsia" w:ascii="微软雅黑" w:hAnsi="微软雅黑" w:eastAsia="微软雅黑" w:cs="微软雅黑"/>
          <w:i w:val="0"/>
          <w:caps w:val="0"/>
          <w:color w:val="444444"/>
          <w:spacing w:val="0"/>
          <w:sz w:val="28"/>
          <w:szCs w:val="28"/>
        </w:rPr>
      </w:pPr>
      <w:r>
        <w:rPr>
          <w:rFonts w:hint="eastAsia" w:ascii="仿宋_GB2312" w:eastAsia="仿宋_GB2312"/>
          <w:sz w:val="32"/>
          <w:szCs w:val="32"/>
        </w:rPr>
        <w:t>针对以上存在的问题，2020年，惠济区卫健委将采取以下改进措施：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leftChars="0" w:right="0" w:firstLine="640" w:firstLineChars="200"/>
        <w:jc w:val="both"/>
        <w:textAlignment w:val="auto"/>
        <w:outlineLvl w:val="9"/>
        <w:rPr>
          <w:rFonts w:hint="eastAsia" w:ascii="微软雅黑" w:hAnsi="微软雅黑" w:eastAsia="微软雅黑" w:cs="微软雅黑"/>
          <w:i w:val="0"/>
          <w:caps w:val="0"/>
          <w:color w:val="444444"/>
          <w:spacing w:val="0"/>
          <w:sz w:val="28"/>
          <w:szCs w:val="28"/>
        </w:rPr>
      </w:pPr>
      <w:r>
        <w:rPr>
          <w:rFonts w:hint="eastAsia" w:ascii="仿宋_GB2312" w:eastAsia="仿宋_GB2312"/>
          <w:sz w:val="32"/>
          <w:szCs w:val="32"/>
        </w:rPr>
        <w:t>（一）强化学习培训。利用举办专题培训班、召开座谈会等多种形式强化从事政府信息公开工作人员对《条例》和业务知识的学习，进一步提升惠济区卫健委机关和区属各医疗卫生单位政府政务公开工作的能力和水平，切实把政府信息公开与业务工作紧密结合起来，依法及时公开政府信息，推进政府信息公开工作常态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leftChars="0" w:right="0" w:firstLine="640" w:firstLineChars="200"/>
        <w:jc w:val="both"/>
        <w:textAlignment w:val="auto"/>
        <w:outlineLvl w:val="9"/>
        <w:rPr>
          <w:rFonts w:hint="eastAsia" w:ascii="微软雅黑" w:hAnsi="微软雅黑" w:eastAsia="微软雅黑" w:cs="微软雅黑"/>
          <w:i w:val="0"/>
          <w:caps w:val="0"/>
          <w:color w:val="444444"/>
          <w:spacing w:val="0"/>
          <w:sz w:val="28"/>
          <w:szCs w:val="28"/>
        </w:rPr>
      </w:pPr>
      <w:r>
        <w:rPr>
          <w:rFonts w:hint="eastAsia" w:ascii="仿宋_GB2312" w:eastAsia="仿宋_GB2312"/>
          <w:sz w:val="32"/>
          <w:szCs w:val="32"/>
        </w:rPr>
        <w:t>（二）加强制度建设。建立健全政府信息公开监督、考核和社会主义等工作制度，进一步完善信息公开的方式和程序，加强信息公开保密审查。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leftChars="0" w:right="0" w:firstLine="640" w:firstLineChars="200"/>
        <w:jc w:val="both"/>
        <w:textAlignment w:val="auto"/>
        <w:outlineLvl w:val="9"/>
        <w:rPr>
          <w:rFonts w:hint="eastAsia" w:ascii="微软雅黑" w:hAnsi="微软雅黑" w:eastAsia="微软雅黑" w:cs="微软雅黑"/>
          <w:i w:val="0"/>
          <w:caps w:val="0"/>
          <w:color w:val="444444"/>
          <w:spacing w:val="0"/>
          <w:sz w:val="28"/>
          <w:szCs w:val="28"/>
        </w:rPr>
      </w:pPr>
      <w:r>
        <w:rPr>
          <w:rFonts w:hint="eastAsia" w:ascii="仿宋_GB2312" w:eastAsia="仿宋_GB2312"/>
          <w:sz w:val="32"/>
          <w:szCs w:val="32"/>
        </w:rPr>
        <w:t>（三）巩固政府信息公开载体建设。在抓好“第一平台”政府信息公开的同时，完善信息公开目录体系，经常性更新网站信息，切实为公众提供方便、快捷的网上信息服务。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leftChars="0" w:right="0" w:firstLine="640" w:firstLineChars="200"/>
        <w:jc w:val="both"/>
        <w:textAlignment w:val="auto"/>
        <w:outlineLvl w:val="9"/>
        <w:rPr>
          <w:rFonts w:hint="eastAsia" w:ascii="微软雅黑" w:hAnsi="微软雅黑" w:eastAsia="微软雅黑" w:cs="微软雅黑"/>
          <w:i w:val="0"/>
          <w:caps w:val="0"/>
          <w:color w:val="444444"/>
          <w:spacing w:val="0"/>
          <w:sz w:val="28"/>
          <w:szCs w:val="28"/>
        </w:rPr>
      </w:pPr>
      <w:r>
        <w:rPr>
          <w:rFonts w:hint="eastAsia" w:ascii="仿宋_GB2312" w:eastAsia="仿宋_GB2312"/>
          <w:sz w:val="32"/>
          <w:szCs w:val="32"/>
        </w:rPr>
        <w:t>（四）加大检查考核工作力度。加强日常督导和年终考核评估，推动区属各医疗卫生单位认真落实职责，促使政府信息公开工作有力、有序、有效向前推进。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leftChars="0" w:right="0" w:firstLine="640" w:firstLineChars="200"/>
        <w:jc w:val="both"/>
        <w:textAlignment w:val="auto"/>
        <w:outlineLvl w:val="9"/>
        <w:rPr>
          <w:rFonts w:hint="eastAsia" w:ascii="微软雅黑" w:hAnsi="微软雅黑" w:eastAsia="微软雅黑" w:cs="微软雅黑"/>
          <w:i w:val="0"/>
          <w:caps w:val="0"/>
          <w:color w:val="444444"/>
          <w:spacing w:val="0"/>
          <w:sz w:val="28"/>
          <w:szCs w:val="28"/>
        </w:rPr>
      </w:pPr>
      <w:r>
        <w:rPr>
          <w:rFonts w:hint="eastAsia" w:ascii="仿宋_GB2312" w:eastAsia="仿宋_GB2312"/>
          <w:sz w:val="32"/>
          <w:szCs w:val="32"/>
        </w:rPr>
        <w:t>没有其他需要报告的事项。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eastAsia="宋体"/>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F0C37"/>
    <w:rsid w:val="04261632"/>
    <w:rsid w:val="09A13787"/>
    <w:rsid w:val="0BC272A4"/>
    <w:rsid w:val="0C6211FD"/>
    <w:rsid w:val="0CF21514"/>
    <w:rsid w:val="0D6F2EC4"/>
    <w:rsid w:val="114B7AB8"/>
    <w:rsid w:val="14603C46"/>
    <w:rsid w:val="154431ED"/>
    <w:rsid w:val="16E64F33"/>
    <w:rsid w:val="16ED55DE"/>
    <w:rsid w:val="170F48A4"/>
    <w:rsid w:val="18B5249B"/>
    <w:rsid w:val="1CB0124B"/>
    <w:rsid w:val="1FAC3022"/>
    <w:rsid w:val="20665868"/>
    <w:rsid w:val="207E1A59"/>
    <w:rsid w:val="20A80656"/>
    <w:rsid w:val="224D2139"/>
    <w:rsid w:val="22DF04A5"/>
    <w:rsid w:val="23F0194F"/>
    <w:rsid w:val="282C5C09"/>
    <w:rsid w:val="2C2D665F"/>
    <w:rsid w:val="2CF5712E"/>
    <w:rsid w:val="2FA4399A"/>
    <w:rsid w:val="308E729A"/>
    <w:rsid w:val="31F37AB7"/>
    <w:rsid w:val="3598739C"/>
    <w:rsid w:val="3AA44410"/>
    <w:rsid w:val="3B077005"/>
    <w:rsid w:val="3C292F6C"/>
    <w:rsid w:val="3DC1558F"/>
    <w:rsid w:val="40FD491D"/>
    <w:rsid w:val="43DE4AA3"/>
    <w:rsid w:val="43DF33E6"/>
    <w:rsid w:val="45343722"/>
    <w:rsid w:val="46727299"/>
    <w:rsid w:val="4A612429"/>
    <w:rsid w:val="4B111E54"/>
    <w:rsid w:val="513F43FE"/>
    <w:rsid w:val="52EB730A"/>
    <w:rsid w:val="543F2CE6"/>
    <w:rsid w:val="59C74157"/>
    <w:rsid w:val="5B5F4C01"/>
    <w:rsid w:val="5B915490"/>
    <w:rsid w:val="5FAA0772"/>
    <w:rsid w:val="61341B1F"/>
    <w:rsid w:val="64FB68CE"/>
    <w:rsid w:val="65CE1A97"/>
    <w:rsid w:val="66B305E7"/>
    <w:rsid w:val="69F07ECE"/>
    <w:rsid w:val="6D7566E1"/>
    <w:rsid w:val="6E637C52"/>
    <w:rsid w:val="6FC63396"/>
    <w:rsid w:val="70CE617B"/>
    <w:rsid w:val="77177708"/>
    <w:rsid w:val="78376F24"/>
    <w:rsid w:val="79054D8E"/>
    <w:rsid w:val="7A962B3B"/>
    <w:rsid w:val="7AA421C4"/>
    <w:rsid w:val="7B76698A"/>
    <w:rsid w:val="7D910293"/>
    <w:rsid w:val="7E3951FB"/>
    <w:rsid w:val="7F913A49"/>
    <w:rsid w:val="7FAB2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919</Words>
  <Characters>2325</Characters>
  <Lines>0</Lines>
  <Paragraphs>0</Paragraphs>
  <TotalTime>8</TotalTime>
  <ScaleCrop>false</ScaleCrop>
  <LinksUpToDate>false</LinksUpToDate>
  <CharactersWithSpaces>2587</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2020-01-16T02:23:00Z</dcterms:created>
  <dc:creator>Administrator</dc:creator>
  <cp:lastModifiedBy>lenovo</cp:lastModifiedBy>
  <dcterms:modified xsi:type="dcterms:W3CDTF">2020-03-26T11:49:21Z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