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郑州市人民防空办公室</w:t>
      </w:r>
    </w:p>
    <w:p>
      <w:pPr>
        <w:jc w:val="center"/>
        <w:rPr>
          <w:rFonts w:ascii="仿宋" w:hAnsi="仿宋" w:eastAsia="仿宋"/>
          <w:sz w:val="32"/>
          <w:szCs w:val="32"/>
        </w:rPr>
      </w:pPr>
      <w:r>
        <w:rPr>
          <w:rFonts w:hint="eastAsia" w:ascii="华文中宋" w:hAnsi="华文中宋" w:eastAsia="华文中宋"/>
          <w:sz w:val="44"/>
          <w:szCs w:val="44"/>
        </w:rPr>
        <w:t>2019年政府信息公开工作年度报告</w:t>
      </w:r>
    </w:p>
    <w:p>
      <w:pPr>
        <w:pStyle w:val="9"/>
        <w:shd w:val="clear" w:color="auto" w:fill="FFFFFF"/>
        <w:spacing w:before="0" w:beforeAutospacing="0" w:after="0" w:afterAutospacing="0"/>
        <w:ind w:left="226"/>
        <w:rPr>
          <w:rFonts w:ascii="微软雅黑" w:hAnsi="微软雅黑" w:eastAsia="微软雅黑"/>
          <w:color w:val="333333"/>
        </w:rPr>
      </w:pPr>
      <w:r>
        <w:rPr>
          <w:rFonts w:hint="eastAsia" w:ascii="仿宋" w:hAnsi="仿宋" w:eastAsia="仿宋"/>
          <w:sz w:val="32"/>
          <w:szCs w:val="32"/>
        </w:rPr>
        <w:t xml:space="preserve">   </w:t>
      </w:r>
      <w:r>
        <w:rPr>
          <w:rFonts w:hint="eastAsia" w:ascii="仿宋_GB2312" w:hAnsi="微软雅黑" w:eastAsia="仿宋_GB2312"/>
          <w:color w:val="333333"/>
          <w:sz w:val="32"/>
          <w:szCs w:val="32"/>
        </w:rPr>
        <w:t> 根据《中华人民共和国政府信息公开条例》和《国务院办公厅政府信息与政务公开办公室关于政府信息公开工作年度报告有关事项的通知》（国办公开办函〔2019〕60号）及《中华人民共和国政府信息公开工作年度报告格式（试行）》，现向社会公布2019年度郑州市人民防空办公室信息公开工作进展情况：</w:t>
      </w:r>
    </w:p>
    <w:p>
      <w:pPr>
        <w:pStyle w:val="9"/>
        <w:shd w:val="clear" w:color="auto" w:fill="FFFFFF"/>
        <w:spacing w:before="0" w:beforeAutospacing="0" w:after="0" w:afterAutospacing="0"/>
        <w:ind w:left="226"/>
        <w:rPr>
          <w:rFonts w:ascii="微软雅黑" w:hAnsi="微软雅黑" w:eastAsia="微软雅黑"/>
          <w:color w:val="333333"/>
        </w:rPr>
      </w:pPr>
      <w:r>
        <w:rPr>
          <w:rFonts w:hint="eastAsia" w:ascii="仿宋_GB2312" w:hAnsi="微软雅黑" w:eastAsia="仿宋_GB2312"/>
          <w:color w:val="333333"/>
          <w:sz w:val="32"/>
          <w:szCs w:val="32"/>
        </w:rPr>
        <w:t>    本报告的统计数据时间自2019年1月1日起至2019年12月31日，报告可在郑州市人民防空办公室门户网站进行下载（</w:t>
      </w:r>
      <w:r>
        <w:rPr>
          <w:rFonts w:ascii="仿宋_GB2312" w:hAnsi="微软雅黑" w:eastAsia="仿宋_GB2312"/>
          <w:color w:val="333333"/>
          <w:sz w:val="32"/>
          <w:szCs w:val="32"/>
        </w:rPr>
        <w:t>http://zzrfb.zhengzhou.gov.cn/</w:t>
      </w:r>
      <w:r>
        <w:rPr>
          <w:rFonts w:hint="eastAsia" w:ascii="仿宋_GB2312" w:hAnsi="微软雅黑" w:eastAsia="仿宋_GB2312"/>
          <w:color w:val="333333"/>
          <w:sz w:val="32"/>
          <w:szCs w:val="32"/>
        </w:rPr>
        <w:t>）。</w:t>
      </w:r>
    </w:p>
    <w:p>
      <w:pPr>
        <w:pStyle w:val="9"/>
        <w:shd w:val="clear" w:color="auto" w:fill="FFFFFF"/>
        <w:spacing w:before="0" w:beforeAutospacing="0" w:after="0" w:afterAutospacing="0"/>
        <w:ind w:firstLine="640"/>
        <w:rPr>
          <w:rFonts w:ascii="微软雅黑" w:hAnsi="微软雅黑" w:eastAsia="微软雅黑"/>
          <w:color w:val="333333"/>
        </w:rPr>
      </w:pPr>
      <w:r>
        <w:rPr>
          <w:rFonts w:hint="eastAsia" w:ascii="黑体" w:hAnsi="黑体" w:eastAsia="黑体"/>
          <w:color w:val="333333"/>
          <w:sz w:val="32"/>
          <w:szCs w:val="32"/>
        </w:rPr>
        <w:t>一、总体情况</w:t>
      </w:r>
    </w:p>
    <w:p>
      <w:pPr>
        <w:pStyle w:val="9"/>
        <w:shd w:val="clear" w:color="auto" w:fill="FFFFFF"/>
        <w:wordWrap w:val="0"/>
        <w:spacing w:before="0" w:beforeAutospacing="0" w:after="0" w:afterAutospacing="0"/>
        <w:ind w:firstLine="643"/>
        <w:rPr>
          <w:rFonts w:ascii="楷体" w:hAnsi="楷体" w:eastAsia="楷体"/>
          <w:color w:val="333333"/>
        </w:rPr>
      </w:pPr>
      <w:r>
        <w:rPr>
          <w:rFonts w:hint="eastAsia" w:ascii="楷体" w:hAnsi="楷体" w:eastAsia="楷体"/>
          <w:b/>
          <w:bCs/>
          <w:color w:val="333333"/>
          <w:sz w:val="32"/>
          <w:szCs w:val="32"/>
        </w:rPr>
        <w:t>（一）加强领导，有序推进</w:t>
      </w:r>
    </w:p>
    <w:p>
      <w:pPr>
        <w:pStyle w:val="9"/>
        <w:shd w:val="clear" w:color="auto" w:fill="FFFFFF"/>
        <w:wordWrap w:val="0"/>
        <w:spacing w:before="0" w:beforeAutospacing="0" w:after="0" w:afterAutospacing="0"/>
        <w:ind w:firstLine="640"/>
        <w:rPr>
          <w:rFonts w:ascii="微软雅黑" w:hAnsi="微软雅黑" w:eastAsia="微软雅黑"/>
          <w:color w:val="333333"/>
        </w:rPr>
      </w:pPr>
      <w:r>
        <w:rPr>
          <w:rFonts w:hint="eastAsia" w:ascii="仿宋_GB2312" w:hAnsi="微软雅黑" w:eastAsia="仿宋_GB2312"/>
          <w:color w:val="333333"/>
          <w:sz w:val="32"/>
          <w:szCs w:val="32"/>
        </w:rPr>
        <w:t>郑州市人民防空办公室严格按照《政府信息公开条例》，层层分解任务，全面落实重点工作，平稳有序地推进政府信息公开工作。制定《2019年度政务公开工作实施方案》，明确政务信息公开的基本原则和工作规范。积极组织深入学习《中华人民共和国政府信息公开条例》和政务公开工作的相关文件精神，在强化思想认识的同时，全面提升业务水平。</w:t>
      </w:r>
    </w:p>
    <w:p>
      <w:pPr>
        <w:pStyle w:val="9"/>
        <w:shd w:val="clear" w:color="auto" w:fill="FFFFFF"/>
        <w:wordWrap w:val="0"/>
        <w:spacing w:before="0" w:beforeAutospacing="0" w:after="0" w:afterAutospacing="0"/>
        <w:ind w:firstLine="643"/>
        <w:rPr>
          <w:rFonts w:ascii="楷体" w:hAnsi="楷体" w:eastAsia="楷体"/>
          <w:color w:val="333333"/>
        </w:rPr>
      </w:pPr>
      <w:r>
        <w:rPr>
          <w:rFonts w:hint="eastAsia" w:ascii="楷体" w:hAnsi="楷体" w:eastAsia="楷体"/>
          <w:b/>
          <w:bCs/>
          <w:color w:val="333333"/>
          <w:sz w:val="32"/>
          <w:szCs w:val="32"/>
        </w:rPr>
        <w:t>（二）规范程序，严格把关</w:t>
      </w:r>
    </w:p>
    <w:p>
      <w:pPr>
        <w:pStyle w:val="9"/>
        <w:shd w:val="clear" w:color="auto" w:fill="FFFFFF"/>
        <w:wordWrap w:val="0"/>
        <w:spacing w:before="0" w:beforeAutospacing="0" w:after="0" w:afterAutospacing="0"/>
        <w:ind w:firstLine="640"/>
        <w:rPr>
          <w:rFonts w:ascii="微软雅黑" w:hAnsi="微软雅黑" w:eastAsia="微软雅黑"/>
          <w:color w:val="333333"/>
        </w:rPr>
      </w:pPr>
      <w:r>
        <w:rPr>
          <w:rFonts w:hint="eastAsia" w:ascii="仿宋_GB2312" w:hAnsi="微软雅黑" w:eastAsia="仿宋_GB2312"/>
          <w:color w:val="333333"/>
          <w:sz w:val="32"/>
          <w:szCs w:val="32"/>
        </w:rPr>
        <w:t>严格落实信息公开审核制度，规范公开流程，充分保证信息发布的全面性、准确性和规范性。严格对照年度任务，聚焦社会最敏感、反映最强烈的热点问题及时予以公开。不断拓宽公开渠道，积极通过党务政务公开栏张贴通知、公告，设立投诉信箱和举报电话等方式推进信息公开，全力保障群众的知情权、参与权。2019年度共公开政府信息126条，依申请公开12条。</w:t>
      </w:r>
    </w:p>
    <w:p>
      <w:pPr>
        <w:pStyle w:val="9"/>
        <w:shd w:val="clear" w:color="auto" w:fill="FFFFFF"/>
        <w:wordWrap w:val="0"/>
        <w:spacing w:before="0" w:beforeAutospacing="0" w:after="0" w:afterAutospacing="0"/>
        <w:ind w:firstLine="643"/>
        <w:rPr>
          <w:rFonts w:ascii="楷体" w:hAnsi="楷体" w:eastAsia="楷体"/>
          <w:color w:val="333333"/>
        </w:rPr>
      </w:pPr>
      <w:r>
        <w:rPr>
          <w:rFonts w:hint="eastAsia" w:ascii="楷体" w:hAnsi="楷体" w:eastAsia="楷体"/>
          <w:b/>
          <w:bCs/>
          <w:color w:val="333333"/>
          <w:sz w:val="32"/>
          <w:szCs w:val="32"/>
        </w:rPr>
        <w:t>（三）明确任务，重点推进</w:t>
      </w:r>
    </w:p>
    <w:p>
      <w:pPr>
        <w:pStyle w:val="9"/>
        <w:shd w:val="clear" w:color="auto" w:fill="FFFFFF"/>
        <w:wordWrap w:val="0"/>
        <w:spacing w:before="0" w:beforeAutospacing="0" w:after="0" w:afterAutospacing="0"/>
        <w:ind w:firstLine="640"/>
        <w:rPr>
          <w:rFonts w:ascii="微软雅黑" w:hAnsi="微软雅黑" w:eastAsia="微软雅黑"/>
          <w:color w:val="333333"/>
        </w:rPr>
      </w:pPr>
      <w:r>
        <w:rPr>
          <w:rFonts w:hint="eastAsia" w:ascii="仿宋_GB2312" w:hAnsi="微软雅黑" w:eastAsia="仿宋_GB2312"/>
          <w:color w:val="333333"/>
          <w:sz w:val="32"/>
          <w:szCs w:val="32"/>
        </w:rPr>
        <w:t>严格落实上级各项规定，全面梳理应当主动公开的政府信息。</w:t>
      </w:r>
      <w:r>
        <w:rPr>
          <w:rFonts w:hint="eastAsia" w:ascii="仿宋_GB2312" w:hAnsi="微软雅黑" w:eastAsia="仿宋_GB2312"/>
          <w:b/>
          <w:bCs/>
          <w:color w:val="333333"/>
          <w:sz w:val="32"/>
          <w:szCs w:val="32"/>
        </w:rPr>
        <w:t>一是</w:t>
      </w:r>
      <w:r>
        <w:rPr>
          <w:rFonts w:hint="eastAsia" w:ascii="仿宋_GB2312" w:hAnsi="微软雅黑" w:eastAsia="仿宋_GB2312"/>
          <w:color w:val="333333"/>
          <w:sz w:val="32"/>
          <w:szCs w:val="32"/>
        </w:rPr>
        <w:t>推进政策公开。积极公开重要出台政策、重点工作推进、重大事件发生信息，根据群众提出问题认真给予答疑解释。</w:t>
      </w:r>
      <w:r>
        <w:rPr>
          <w:rFonts w:hint="eastAsia" w:ascii="仿宋_GB2312" w:hAnsi="微软雅黑" w:eastAsia="仿宋_GB2312"/>
          <w:b/>
          <w:bCs/>
          <w:color w:val="333333"/>
          <w:sz w:val="32"/>
          <w:szCs w:val="32"/>
        </w:rPr>
        <w:t>二是</w:t>
      </w:r>
      <w:r>
        <w:rPr>
          <w:rFonts w:hint="eastAsia" w:ascii="仿宋_GB2312" w:hAnsi="微软雅黑" w:eastAsia="仿宋_GB2312"/>
          <w:color w:val="333333"/>
          <w:sz w:val="32"/>
          <w:szCs w:val="32"/>
        </w:rPr>
        <w:t>推进工作动态信息公开。及时公开防范化解重大风险、扫黑除恶、精准扶贫、污染防治、日常工作情况。</w:t>
      </w:r>
      <w:r>
        <w:rPr>
          <w:rFonts w:hint="eastAsia" w:ascii="仿宋_GB2312" w:hAnsi="微软雅黑" w:eastAsia="仿宋_GB2312"/>
          <w:b/>
          <w:bCs/>
          <w:color w:val="333333"/>
          <w:sz w:val="32"/>
          <w:szCs w:val="32"/>
        </w:rPr>
        <w:t>三是</w:t>
      </w:r>
      <w:r>
        <w:rPr>
          <w:rFonts w:hint="eastAsia" w:ascii="仿宋_GB2312" w:hAnsi="微软雅黑" w:eastAsia="仿宋_GB2312"/>
          <w:color w:val="333333"/>
          <w:sz w:val="32"/>
          <w:szCs w:val="32"/>
        </w:rPr>
        <w:t>推进重点领域信息公开。通过政府信息公开网站和LED屏、宣传单等方式，做好服务领域、岗位招聘、防灾减灾、消防安全等信息公开的普及面和透明度。</w:t>
      </w:r>
    </w:p>
    <w:p>
      <w:pPr>
        <w:pStyle w:val="9"/>
        <w:shd w:val="clear" w:color="auto" w:fill="FFFFFF"/>
        <w:spacing w:before="0" w:beforeAutospacing="0" w:after="0" w:afterAutospacing="0"/>
        <w:ind w:firstLine="640"/>
        <w:rPr>
          <w:rFonts w:ascii="微软雅黑" w:hAnsi="微软雅黑" w:eastAsia="微软雅黑"/>
          <w:color w:val="333333"/>
        </w:rPr>
      </w:pPr>
      <w:r>
        <w:rPr>
          <w:rFonts w:hint="eastAsia" w:ascii="黑体" w:hAnsi="黑体" w:eastAsia="黑体"/>
          <w:color w:val="333333"/>
          <w:sz w:val="32"/>
          <w:szCs w:val="32"/>
        </w:rPr>
        <w:t>二、主动公开政府信息情况</w:t>
      </w:r>
    </w:p>
    <w:tbl>
      <w:tblPr>
        <w:tblStyle w:val="7"/>
        <w:tblpPr w:leftFromText="180" w:rightFromText="180" w:vertAnchor="page" w:horzAnchor="margin" w:tblpY="18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ascii="宋体" w:hAnsi="宋体" w:eastAsia="宋体"/>
                <w:kern w:val="0"/>
                <w:sz w:val="20"/>
                <w:szCs w:val="20"/>
              </w:rPr>
            </w:pPr>
            <w:r>
              <w:rPr>
                <w:rFonts w:hint="eastAsia" w:ascii="宋体" w:hAnsi="宋体" w:eastAsia="宋体"/>
                <w:kern w:val="0"/>
                <w:sz w:val="20"/>
                <w:szCs w:val="20"/>
              </w:rPr>
              <w:t>第二十条（一）项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信息内容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本年</w:t>
            </w:r>
          </w:p>
          <w:p>
            <w:pPr>
              <w:jc w:val="center"/>
              <w:rPr>
                <w:rFonts w:ascii="宋体" w:hAnsi="宋体" w:eastAsia="宋体"/>
                <w:kern w:val="0"/>
                <w:sz w:val="20"/>
                <w:szCs w:val="20"/>
              </w:rPr>
            </w:pPr>
            <w:r>
              <w:rPr>
                <w:rFonts w:hint="eastAsia" w:ascii="宋体" w:hAnsi="宋体" w:eastAsia="宋体"/>
                <w:kern w:val="0"/>
                <w:sz w:val="20"/>
                <w:szCs w:val="20"/>
              </w:rPr>
              <w:t>新制作数量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本年</w:t>
            </w:r>
          </w:p>
          <w:p>
            <w:pPr>
              <w:jc w:val="center"/>
              <w:rPr>
                <w:rFonts w:ascii="宋体" w:hAnsi="宋体" w:eastAsia="宋体"/>
                <w:kern w:val="0"/>
                <w:sz w:val="20"/>
                <w:szCs w:val="20"/>
              </w:rPr>
            </w:pPr>
            <w:r>
              <w:rPr>
                <w:rFonts w:hint="eastAsia" w:ascii="宋体" w:hAnsi="宋体" w:eastAsia="宋体"/>
                <w:kern w:val="0"/>
                <w:sz w:val="20"/>
                <w:szCs w:val="20"/>
              </w:rPr>
              <w:t>新公开数量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对外公开</w:t>
            </w:r>
          </w:p>
          <w:p>
            <w:pPr>
              <w:jc w:val="center"/>
              <w:rPr>
                <w:rFonts w:ascii="宋体" w:hAnsi="宋体" w:eastAsia="宋体"/>
                <w:kern w:val="0"/>
                <w:sz w:val="20"/>
                <w:szCs w:val="20"/>
              </w:rPr>
            </w:pPr>
            <w:r>
              <w:rPr>
                <w:rFonts w:hint="eastAsia" w:ascii="宋体" w:hAnsi="宋体" w:eastAsia="宋体"/>
                <w:kern w:val="0"/>
                <w:sz w:val="20"/>
                <w:szCs w:val="20"/>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规章</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规范性文件</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ascii="宋体" w:hAnsi="宋体" w:eastAsia="宋体"/>
                <w:kern w:val="0"/>
                <w:sz w:val="20"/>
                <w:szCs w:val="20"/>
              </w:rPr>
            </w:pPr>
            <w:r>
              <w:rPr>
                <w:rFonts w:hint="eastAsia" w:ascii="宋体" w:hAnsi="宋体" w:eastAsia="宋体"/>
                <w:kern w:val="0"/>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信息内容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上一年</w:t>
            </w:r>
          </w:p>
          <w:p>
            <w:pPr>
              <w:jc w:val="center"/>
              <w:rPr>
                <w:rFonts w:ascii="宋体" w:hAnsi="宋体" w:eastAsia="宋体"/>
                <w:kern w:val="0"/>
                <w:sz w:val="20"/>
                <w:szCs w:val="20"/>
              </w:rPr>
            </w:pPr>
            <w:r>
              <w:rPr>
                <w:rFonts w:hint="eastAsia" w:ascii="宋体" w:hAnsi="宋体" w:eastAsia="宋体"/>
                <w:kern w:val="0"/>
                <w:sz w:val="20"/>
                <w:szCs w:val="20"/>
              </w:rPr>
              <w:t>项目数量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本年增减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行政许可</w:t>
            </w:r>
          </w:p>
        </w:tc>
        <w:tc>
          <w:tcPr>
            <w:tcW w:w="2130" w:type="dxa"/>
          </w:tcPr>
          <w:p>
            <w:pPr>
              <w:jc w:val="center"/>
              <w:rPr>
                <w:rFonts w:hint="default" w:ascii="宋体" w:hAnsi="宋体" w:eastAsia="宋体"/>
                <w:kern w:val="0"/>
                <w:sz w:val="20"/>
                <w:szCs w:val="20"/>
                <w:lang w:val="en"/>
              </w:rPr>
            </w:pPr>
            <w:r>
              <w:rPr>
                <w:rFonts w:hint="default" w:ascii="宋体" w:hAnsi="宋体" w:eastAsia="宋体"/>
                <w:kern w:val="0"/>
                <w:sz w:val="20"/>
                <w:szCs w:val="20"/>
                <w:lang w:val="en"/>
              </w:rPr>
              <w:t>679</w:t>
            </w:r>
          </w:p>
        </w:tc>
        <w:tc>
          <w:tcPr>
            <w:tcW w:w="2131" w:type="dxa"/>
          </w:tcPr>
          <w:p>
            <w:pPr>
              <w:jc w:val="center"/>
              <w:rPr>
                <w:rFonts w:hint="default" w:ascii="宋体" w:hAnsi="宋体" w:eastAsia="宋体"/>
                <w:kern w:val="0"/>
                <w:sz w:val="20"/>
                <w:szCs w:val="20"/>
                <w:lang w:val="en"/>
              </w:rPr>
            </w:pPr>
            <w:r>
              <w:rPr>
                <w:rFonts w:hint="default" w:ascii="宋体" w:hAnsi="宋体" w:eastAsia="宋体"/>
                <w:kern w:val="0"/>
                <w:sz w:val="20"/>
                <w:szCs w:val="20"/>
                <w:lang w:val="en"/>
              </w:rPr>
              <w:t>-289</w:t>
            </w:r>
            <w:bookmarkStart w:id="0" w:name="_GoBack"/>
            <w:bookmarkEnd w:id="0"/>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其他对外管理服务事项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ascii="宋体" w:hAnsi="宋体" w:eastAsia="宋体"/>
                <w:kern w:val="0"/>
                <w:sz w:val="20"/>
                <w:szCs w:val="20"/>
              </w:rPr>
            </w:pPr>
            <w:r>
              <w:rPr>
                <w:rFonts w:hint="eastAsia" w:ascii="宋体" w:hAnsi="宋体" w:eastAsia="宋体"/>
                <w:kern w:val="0"/>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信息内容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上一年</w:t>
            </w:r>
          </w:p>
          <w:p>
            <w:pPr>
              <w:jc w:val="center"/>
              <w:rPr>
                <w:rFonts w:ascii="宋体" w:hAnsi="宋体" w:eastAsia="宋体"/>
                <w:kern w:val="0"/>
                <w:sz w:val="20"/>
                <w:szCs w:val="20"/>
              </w:rPr>
            </w:pPr>
            <w:r>
              <w:rPr>
                <w:rFonts w:hint="eastAsia" w:ascii="宋体" w:hAnsi="宋体" w:eastAsia="宋体"/>
                <w:kern w:val="0"/>
                <w:sz w:val="20"/>
                <w:szCs w:val="20"/>
              </w:rPr>
              <w:t>项目数量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本年增减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行政处罚</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25</w:t>
            </w:r>
          </w:p>
        </w:tc>
        <w:tc>
          <w:tcPr>
            <w:tcW w:w="2131" w:type="dxa"/>
          </w:tcPr>
          <w:p>
            <w:pPr>
              <w:jc w:val="center"/>
              <w:rPr>
                <w:rFonts w:hint="default" w:ascii="宋体" w:hAnsi="宋体" w:eastAsia="宋体"/>
                <w:kern w:val="0"/>
                <w:sz w:val="20"/>
                <w:szCs w:val="20"/>
                <w:lang w:val="en"/>
              </w:rPr>
            </w:pPr>
            <w:r>
              <w:rPr>
                <w:rFonts w:hint="default" w:ascii="宋体" w:hAnsi="宋体" w:eastAsia="宋体"/>
                <w:kern w:val="0"/>
                <w:sz w:val="20"/>
                <w:szCs w:val="20"/>
                <w:lang w:val="en"/>
              </w:rPr>
              <w:t>-5</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行政强制</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ascii="宋体" w:hAnsi="宋体" w:eastAsia="宋体"/>
                <w:kern w:val="0"/>
                <w:sz w:val="20"/>
                <w:szCs w:val="20"/>
              </w:rPr>
            </w:pPr>
            <w:r>
              <w:rPr>
                <w:rFonts w:hint="eastAsia" w:ascii="宋体" w:hAnsi="宋体" w:eastAsia="宋体"/>
                <w:kern w:val="0"/>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信息内容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上一年</w:t>
            </w:r>
          </w:p>
          <w:p>
            <w:pPr>
              <w:jc w:val="center"/>
              <w:rPr>
                <w:rFonts w:ascii="宋体" w:hAnsi="宋体" w:eastAsia="宋体"/>
                <w:kern w:val="0"/>
                <w:sz w:val="20"/>
                <w:szCs w:val="20"/>
              </w:rPr>
            </w:pPr>
            <w:r>
              <w:rPr>
                <w:rFonts w:hint="eastAsia" w:ascii="宋体" w:hAnsi="宋体" w:eastAsia="宋体"/>
                <w:kern w:val="0"/>
                <w:sz w:val="20"/>
                <w:szCs w:val="20"/>
              </w:rPr>
              <w:t>项目数量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本年增减</w:t>
            </w:r>
          </w:p>
        </w:tc>
        <w:tc>
          <w:tcPr>
            <w:tcW w:w="2131" w:type="dxa"/>
          </w:tcPr>
          <w:p>
            <w:pPr>
              <w:jc w:val="center"/>
              <w:rPr>
                <w:rFonts w:ascii="宋体" w:hAnsi="宋体"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行政事业</w:t>
            </w:r>
          </w:p>
          <w:p>
            <w:pPr>
              <w:jc w:val="center"/>
              <w:rPr>
                <w:rFonts w:ascii="宋体" w:hAnsi="宋体" w:eastAsia="宋体"/>
                <w:kern w:val="0"/>
                <w:sz w:val="20"/>
                <w:szCs w:val="20"/>
              </w:rPr>
            </w:pPr>
            <w:r>
              <w:rPr>
                <w:rFonts w:hint="eastAsia" w:ascii="宋体" w:hAnsi="宋体" w:eastAsia="宋体"/>
                <w:kern w:val="0"/>
                <w:sz w:val="20"/>
                <w:szCs w:val="20"/>
              </w:rPr>
              <w:t>性收费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2</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ascii="宋体" w:hAnsi="宋体" w:eastAsia="宋体"/>
                <w:kern w:val="0"/>
                <w:sz w:val="20"/>
                <w:szCs w:val="20"/>
              </w:rPr>
            </w:pPr>
            <w:r>
              <w:rPr>
                <w:rFonts w:hint="eastAsia" w:ascii="宋体" w:hAnsi="宋体" w:eastAsia="宋体"/>
                <w:kern w:val="0"/>
                <w:sz w:val="20"/>
                <w:szCs w:val="20"/>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信息内容</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采购项目数量</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采购总金额</w:t>
            </w:r>
          </w:p>
        </w:tc>
        <w:tc>
          <w:tcPr>
            <w:tcW w:w="2131" w:type="dxa"/>
          </w:tcPr>
          <w:p>
            <w:pPr>
              <w:jc w:val="center"/>
              <w:rPr>
                <w:rFonts w:ascii="宋体" w:hAnsi="宋体"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宋体" w:hAnsi="宋体" w:eastAsia="宋体"/>
                <w:kern w:val="0"/>
                <w:sz w:val="20"/>
                <w:szCs w:val="20"/>
              </w:rPr>
            </w:pPr>
            <w:r>
              <w:rPr>
                <w:rFonts w:hint="eastAsia" w:ascii="宋体" w:hAnsi="宋体" w:eastAsia="宋体"/>
                <w:kern w:val="0"/>
                <w:sz w:val="20"/>
                <w:szCs w:val="20"/>
              </w:rPr>
              <w:t>政府集中采购</w:t>
            </w:r>
          </w:p>
        </w:tc>
        <w:tc>
          <w:tcPr>
            <w:tcW w:w="2130"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r>
              <w:rPr>
                <w:rFonts w:hint="eastAsia" w:ascii="宋体" w:hAnsi="宋体" w:eastAsia="宋体"/>
                <w:kern w:val="0"/>
                <w:sz w:val="20"/>
                <w:szCs w:val="20"/>
              </w:rPr>
              <w:t>0</w:t>
            </w:r>
          </w:p>
        </w:tc>
        <w:tc>
          <w:tcPr>
            <w:tcW w:w="2131" w:type="dxa"/>
          </w:tcPr>
          <w:p>
            <w:pPr>
              <w:jc w:val="center"/>
              <w:rPr>
                <w:rFonts w:ascii="宋体" w:hAnsi="宋体" w:eastAsia="宋体"/>
                <w:kern w:val="0"/>
                <w:sz w:val="20"/>
                <w:szCs w:val="20"/>
              </w:rPr>
            </w:pPr>
          </w:p>
        </w:tc>
      </w:tr>
    </w:tbl>
    <w:p>
      <w:pPr>
        <w:rPr>
          <w:rFonts w:ascii="黑体" w:hAnsi="黑体" w:eastAsia="黑体"/>
          <w:sz w:val="32"/>
          <w:szCs w:val="32"/>
        </w:rPr>
      </w:pPr>
      <w:r>
        <w:rPr>
          <w:rFonts w:hint="eastAsia" w:ascii="黑体" w:hAnsi="黑体" w:eastAsia="黑体"/>
          <w:sz w:val="32"/>
          <w:szCs w:val="32"/>
        </w:rPr>
        <w:t>三、依申请公开政府信息情况</w:t>
      </w:r>
    </w:p>
    <w:tbl>
      <w:tblPr>
        <w:tblStyle w:val="6"/>
        <w:tblW w:w="9071" w:type="dxa"/>
        <w:jc w:val="center"/>
        <w:tblLayout w:type="autofit"/>
        <w:tblCellMar>
          <w:top w:w="15" w:type="dxa"/>
          <w:left w:w="15" w:type="dxa"/>
          <w:bottom w:w="15" w:type="dxa"/>
          <w:right w:w="15" w:type="dxa"/>
        </w:tblCellMar>
      </w:tblPr>
      <w:tblGrid>
        <w:gridCol w:w="616"/>
        <w:gridCol w:w="854"/>
        <w:gridCol w:w="2084"/>
        <w:gridCol w:w="816"/>
        <w:gridCol w:w="754"/>
        <w:gridCol w:w="754"/>
        <w:gridCol w:w="813"/>
        <w:gridCol w:w="972"/>
        <w:gridCol w:w="711"/>
        <w:gridCol w:w="697"/>
      </w:tblGrid>
      <w:tr>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825" w:type="dxa"/>
            <w:vMerge w:val="restart"/>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r>
      <w:tr>
        <w:trPr>
          <w:jc w:val="center"/>
        </w:trPr>
        <w:tc>
          <w:tcPr>
            <w:tcW w:w="3479"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12</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12</w:t>
            </w:r>
            <w:r>
              <w:rPr>
                <w:rFonts w:ascii="Calibri" w:hAnsi="Calibri" w:eastAsia="宋体" w:cs="宋体"/>
                <w:color w:val="000000"/>
                <w:kern w:val="0"/>
                <w:sz w:val="20"/>
                <w:szCs w:val="20"/>
              </w:rPr>
              <w:t> </w:t>
            </w:r>
          </w:p>
        </w:tc>
      </w:tr>
      <w:tr>
        <w:trPr>
          <w:jc w:val="center"/>
        </w:trPr>
        <w:tc>
          <w:tcPr>
            <w:tcW w:w="3479"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494"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1</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1</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11</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11</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r>
      <w:tr>
        <w:trPr>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12</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12</w:t>
            </w:r>
            <w:r>
              <w:rPr>
                <w:rFonts w:ascii="Calibri" w:hAnsi="Calibri" w:eastAsia="宋体" w:cs="宋体"/>
                <w:color w:val="000000"/>
                <w:kern w:val="0"/>
                <w:sz w:val="20"/>
                <w:szCs w:val="20"/>
              </w:rPr>
              <w:t> </w:t>
            </w:r>
          </w:p>
        </w:tc>
      </w:tr>
      <w:tr>
        <w:trPr>
          <w:jc w:val="center"/>
        </w:trPr>
        <w:tc>
          <w:tcPr>
            <w:tcW w:w="3479"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6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rPr>
          <w:rFonts w:ascii="黑体" w:hAnsi="黑体" w:eastAsia="黑体"/>
          <w:sz w:val="32"/>
          <w:szCs w:val="32"/>
        </w:rPr>
      </w:pPr>
      <w:r>
        <w:rPr>
          <w:rFonts w:hint="eastAsia" w:ascii="黑体" w:hAnsi="黑体" w:eastAsia="黑体"/>
          <w:sz w:val="32"/>
          <w:szCs w:val="32"/>
        </w:rPr>
        <w:t>四、信息公开复议及诉讼情况</w:t>
      </w:r>
    </w:p>
    <w:tbl>
      <w:tblPr>
        <w:tblStyle w:val="6"/>
        <w:tblW w:w="9071" w:type="dxa"/>
        <w:tblInd w:w="93" w:type="dxa"/>
        <w:shd w:val="clear" w:color="auto" w:fill="FFFFFF" w:themeFill="background1"/>
        <w:tblLayout w:type="autofit"/>
        <w:tblCellMar>
          <w:top w:w="15" w:type="dxa"/>
          <w:left w:w="15" w:type="dxa"/>
          <w:bottom w:w="15" w:type="dxa"/>
          <w:right w:w="15" w:type="dxa"/>
        </w:tblCellMar>
      </w:tblPr>
      <w:tblGrid>
        <w:gridCol w:w="452"/>
        <w:gridCol w:w="452"/>
        <w:gridCol w:w="452"/>
        <w:gridCol w:w="452"/>
        <w:gridCol w:w="464"/>
        <w:gridCol w:w="523"/>
        <w:gridCol w:w="534"/>
        <w:gridCol w:w="534"/>
        <w:gridCol w:w="534"/>
        <w:gridCol w:w="534"/>
        <w:gridCol w:w="534"/>
        <w:gridCol w:w="534"/>
        <w:gridCol w:w="534"/>
        <w:gridCol w:w="534"/>
        <w:gridCol w:w="2004"/>
      </w:tblGrid>
      <w:tr>
        <w:tc>
          <w:tcPr>
            <w:tcW w:w="2272"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行政复议</w:t>
            </w:r>
          </w:p>
        </w:tc>
        <w:tc>
          <w:tcPr>
            <w:tcW w:w="6799" w:type="dxa"/>
            <w:gridSpan w:val="10"/>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行政诉讼</w:t>
            </w:r>
          </w:p>
        </w:tc>
      </w:tr>
      <w:tr>
        <w:tc>
          <w:tcPr>
            <w:tcW w:w="452"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结果维持</w:t>
            </w:r>
          </w:p>
        </w:tc>
        <w:tc>
          <w:tcPr>
            <w:tcW w:w="452" w:type="dxa"/>
            <w:vMerge w:val="restart"/>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结果纠正</w:t>
            </w:r>
          </w:p>
        </w:tc>
        <w:tc>
          <w:tcPr>
            <w:tcW w:w="452" w:type="dxa"/>
            <w:vMerge w:val="restart"/>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其他结果</w:t>
            </w:r>
          </w:p>
        </w:tc>
        <w:tc>
          <w:tcPr>
            <w:tcW w:w="452" w:type="dxa"/>
            <w:vMerge w:val="restart"/>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尚未审结</w:t>
            </w:r>
          </w:p>
        </w:tc>
        <w:tc>
          <w:tcPr>
            <w:tcW w:w="464" w:type="dxa"/>
            <w:vMerge w:val="restart"/>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总计</w:t>
            </w:r>
          </w:p>
        </w:tc>
        <w:tc>
          <w:tcPr>
            <w:tcW w:w="2659" w:type="dxa"/>
            <w:gridSpan w:val="5"/>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未经复议直接起诉</w:t>
            </w:r>
          </w:p>
        </w:tc>
        <w:tc>
          <w:tcPr>
            <w:tcW w:w="4140" w:type="dxa"/>
            <w:gridSpan w:val="5"/>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复议后起诉</w:t>
            </w:r>
          </w:p>
        </w:tc>
      </w:tr>
      <w:tr>
        <w:tc>
          <w:tcPr>
            <w:tcW w:w="0" w:type="auto"/>
            <w:vMerge w:val="continue"/>
            <w:tcBorders>
              <w:top w:val="nil"/>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shd w:val="clear" w:color="auto" w:fill="FFFFFF" w:themeFill="background1"/>
              </w:rPr>
            </w:pPr>
          </w:p>
        </w:tc>
        <w:tc>
          <w:tcPr>
            <w:tcW w:w="0" w:type="auto"/>
            <w:vMerge w:val="continue"/>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shd w:val="clear" w:color="auto" w:fill="FFFFFF" w:themeFill="background1"/>
              </w:rPr>
            </w:pPr>
          </w:p>
        </w:tc>
        <w:tc>
          <w:tcPr>
            <w:tcW w:w="0" w:type="auto"/>
            <w:vMerge w:val="continue"/>
            <w:tcBorders>
              <w:top w:val="single" w:color="auto" w:sz="8" w:space="0"/>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shd w:val="clear" w:color="auto" w:fill="FFFFFF" w:themeFill="background1"/>
              </w:rPr>
            </w:pPr>
          </w:p>
        </w:tc>
        <w:tc>
          <w:tcPr>
            <w:tcW w:w="0" w:type="auto"/>
            <w:vMerge w:val="continue"/>
            <w:tcBorders>
              <w:top w:val="single" w:color="auto" w:sz="8" w:space="0"/>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shd w:val="clear" w:color="auto" w:fill="FFFFFF" w:themeFill="background1"/>
              </w:rPr>
            </w:pPr>
          </w:p>
        </w:tc>
        <w:tc>
          <w:tcPr>
            <w:tcW w:w="0" w:type="auto"/>
            <w:vMerge w:val="continue"/>
            <w:tcBorders>
              <w:top w:val="single" w:color="auto" w:sz="8" w:space="0"/>
              <w:left w:val="nil"/>
              <w:bottom w:val="single" w:color="auto" w:sz="8" w:space="0"/>
              <w:right w:val="single" w:color="auto" w:sz="8" w:space="0"/>
            </w:tcBorders>
            <w:shd w:val="clear" w:color="auto" w:fill="FFFFFF" w:themeFill="background1"/>
            <w:vAlign w:val="center"/>
          </w:tcPr>
          <w:p>
            <w:pPr>
              <w:widowControl/>
              <w:jc w:val="left"/>
              <w:rPr>
                <w:rFonts w:ascii="宋体" w:hAnsi="宋体" w:eastAsia="宋体" w:cs="宋体"/>
                <w:color w:val="000000"/>
                <w:kern w:val="0"/>
                <w:sz w:val="24"/>
                <w:szCs w:val="24"/>
                <w:shd w:val="clear" w:color="auto" w:fill="FFFFFF" w:themeFill="background1"/>
              </w:rPr>
            </w:pPr>
          </w:p>
        </w:tc>
        <w:tc>
          <w:tcPr>
            <w:tcW w:w="52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结果维持</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结果纠正</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其他结果</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尚未审结</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总计</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结果维持</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结果纠正</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其他结果</w:t>
            </w:r>
          </w:p>
        </w:tc>
        <w:tc>
          <w:tcPr>
            <w:tcW w:w="53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尚未审结</w:t>
            </w:r>
          </w:p>
        </w:tc>
        <w:tc>
          <w:tcPr>
            <w:tcW w:w="2004"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总计</w:t>
            </w:r>
          </w:p>
        </w:tc>
      </w:tr>
      <w:tr>
        <w:tc>
          <w:tcPr>
            <w:tcW w:w="45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Calibri" w:hAnsi="Calibri" w:eastAsia="宋体" w:cs="宋体"/>
                <w:color w:val="000000"/>
                <w:kern w:val="0"/>
                <w:sz w:val="20"/>
                <w:szCs w:val="20"/>
                <w:shd w:val="clear" w:color="auto" w:fill="FFFFFF" w:themeFill="background1"/>
              </w:rPr>
              <w:t>0</w:t>
            </w:r>
            <w:r>
              <w:rPr>
                <w:rFonts w:ascii="Calibri" w:hAnsi="Calibri" w:eastAsia="宋体" w:cs="宋体"/>
                <w:color w:val="000000"/>
                <w:kern w:val="0"/>
                <w:sz w:val="20"/>
                <w:szCs w:val="20"/>
                <w:shd w:val="clear" w:color="auto" w:fill="FFFFFF" w:themeFill="background1"/>
              </w:rPr>
              <w:t> </w:t>
            </w:r>
          </w:p>
        </w:tc>
        <w:tc>
          <w:tcPr>
            <w:tcW w:w="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ascii="Calibri" w:hAnsi="Calibri" w:eastAsia="宋体" w:cs="宋体"/>
                <w:color w:val="000000"/>
                <w:kern w:val="0"/>
                <w:sz w:val="20"/>
                <w:szCs w:val="20"/>
                <w:shd w:val="clear" w:color="auto" w:fill="FFFFFF" w:themeFill="background1"/>
              </w:rPr>
              <w:t> </w:t>
            </w:r>
            <w:r>
              <w:rPr>
                <w:rFonts w:hint="eastAsia" w:ascii="Calibri" w:hAnsi="Calibri" w:eastAsia="宋体" w:cs="宋体"/>
                <w:color w:val="000000"/>
                <w:kern w:val="0"/>
                <w:sz w:val="20"/>
                <w:szCs w:val="20"/>
                <w:shd w:val="clear" w:color="auto" w:fill="FFFFFF" w:themeFill="background1"/>
              </w:rPr>
              <w:t>0</w:t>
            </w:r>
          </w:p>
        </w:tc>
        <w:tc>
          <w:tcPr>
            <w:tcW w:w="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ascii="Calibri" w:hAnsi="Calibri" w:eastAsia="宋体" w:cs="宋体"/>
                <w:color w:val="000000"/>
                <w:kern w:val="0"/>
                <w:sz w:val="20"/>
                <w:szCs w:val="20"/>
                <w:shd w:val="clear" w:color="auto" w:fill="FFFFFF" w:themeFill="background1"/>
              </w:rPr>
              <w:t> </w:t>
            </w:r>
            <w:r>
              <w:rPr>
                <w:rFonts w:hint="eastAsia" w:ascii="Calibri" w:hAnsi="Calibri" w:eastAsia="宋体" w:cs="宋体"/>
                <w:color w:val="000000"/>
                <w:kern w:val="0"/>
                <w:sz w:val="20"/>
                <w:szCs w:val="20"/>
                <w:shd w:val="clear" w:color="auto" w:fill="FFFFFF" w:themeFill="background1"/>
              </w:rPr>
              <w:t>0</w:t>
            </w:r>
          </w:p>
        </w:tc>
        <w:tc>
          <w:tcPr>
            <w:tcW w:w="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ascii="Calibri" w:hAnsi="Calibri" w:eastAsia="宋体" w:cs="宋体"/>
                <w:color w:val="000000"/>
                <w:kern w:val="0"/>
                <w:sz w:val="20"/>
                <w:szCs w:val="20"/>
                <w:shd w:val="clear" w:color="auto" w:fill="FFFFFF" w:themeFill="background1"/>
              </w:rPr>
              <w:t> </w:t>
            </w:r>
            <w:r>
              <w:rPr>
                <w:rFonts w:hint="eastAsia" w:ascii="Calibri" w:hAnsi="Calibri" w:eastAsia="宋体" w:cs="宋体"/>
                <w:color w:val="000000"/>
                <w:kern w:val="0"/>
                <w:sz w:val="20"/>
                <w:szCs w:val="20"/>
                <w:shd w:val="clear" w:color="auto" w:fill="FFFFFF" w:themeFill="background1"/>
              </w:rPr>
              <w:t>0</w:t>
            </w:r>
          </w:p>
        </w:tc>
        <w:tc>
          <w:tcPr>
            <w:tcW w:w="46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Calibri" w:hAnsi="Calibri" w:eastAsia="宋体" w:cs="宋体"/>
                <w:color w:val="000000"/>
                <w:kern w:val="0"/>
                <w:sz w:val="20"/>
                <w:szCs w:val="20"/>
                <w:shd w:val="clear" w:color="auto" w:fill="FFFFFF" w:themeFill="background1"/>
              </w:rPr>
              <w:t>0</w:t>
            </w:r>
            <w:r>
              <w:rPr>
                <w:rFonts w:ascii="Calibri" w:hAnsi="Calibri" w:eastAsia="宋体" w:cs="宋体"/>
                <w:color w:val="000000"/>
                <w:kern w:val="0"/>
                <w:sz w:val="20"/>
                <w:szCs w:val="20"/>
                <w:shd w:val="clear" w:color="auto" w:fill="FFFFFF" w:themeFill="background1"/>
              </w:rPr>
              <w:t> </w:t>
            </w:r>
          </w:p>
        </w:tc>
        <w:tc>
          <w:tcPr>
            <w:tcW w:w="52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0 </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 0</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 0</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 1</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 1</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 0</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 0</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0 </w:t>
            </w:r>
          </w:p>
        </w:tc>
        <w:tc>
          <w:tcPr>
            <w:tcW w:w="53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shd w:val="clear" w:color="auto" w:fill="FFFFFF" w:themeFill="background1"/>
              </w:rPr>
            </w:pPr>
            <w:r>
              <w:rPr>
                <w:rFonts w:hint="eastAsia" w:ascii="宋体" w:hAnsi="宋体" w:eastAsia="宋体" w:cs="宋体"/>
                <w:color w:val="000000"/>
                <w:kern w:val="0"/>
                <w:sz w:val="20"/>
                <w:szCs w:val="20"/>
                <w:shd w:val="clear" w:color="auto" w:fill="FFFFFF" w:themeFill="background1"/>
              </w:rPr>
              <w:t>0 </w:t>
            </w:r>
          </w:p>
        </w:tc>
        <w:tc>
          <w:tcPr>
            <w:tcW w:w="200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ascii="Segoe UI" w:hAnsi="Segoe UI" w:eastAsia="宋体" w:cs="Segoe UI"/>
                <w:color w:val="000000"/>
                <w:kern w:val="0"/>
                <w:szCs w:val="21"/>
                <w:shd w:val="clear" w:color="auto" w:fill="FFFFFF" w:themeFill="background1"/>
              </w:rPr>
            </w:pPr>
            <w:r>
              <w:rPr>
                <w:rFonts w:hint="eastAsia" w:ascii="Segoe UI" w:hAnsi="Segoe UI" w:eastAsia="宋体" w:cs="Segoe UI"/>
                <w:color w:val="000000"/>
                <w:kern w:val="0"/>
                <w:szCs w:val="21"/>
                <w:shd w:val="clear" w:color="auto" w:fill="FFFFFF" w:themeFill="background1"/>
              </w:rPr>
              <w:t>0</w:t>
            </w:r>
          </w:p>
        </w:tc>
      </w:tr>
    </w:tbl>
    <w:p>
      <w:pPr>
        <w:rPr>
          <w:rFonts w:ascii="黑体" w:hAnsi="黑体" w:eastAsia="黑体"/>
          <w:sz w:val="32"/>
          <w:szCs w:val="32"/>
        </w:rPr>
      </w:pPr>
      <w:r>
        <w:rPr>
          <w:rFonts w:hint="eastAsia" w:ascii="黑体" w:hAnsi="黑体" w:eastAsia="黑体"/>
          <w:sz w:val="32"/>
          <w:szCs w:val="32"/>
        </w:rPr>
        <w:t>五、政府信息公开的收费及减免收费情况</w:t>
      </w:r>
    </w:p>
    <w:p>
      <w:pPr>
        <w:ind w:firstLine="640" w:firstLineChars="200"/>
        <w:rPr>
          <w:rFonts w:ascii="仿宋" w:hAnsi="仿宋" w:eastAsia="仿宋"/>
          <w:sz w:val="32"/>
          <w:szCs w:val="32"/>
        </w:rPr>
      </w:pPr>
      <w:r>
        <w:rPr>
          <w:rFonts w:hint="eastAsia" w:ascii="仿宋" w:hAnsi="仿宋" w:eastAsia="仿宋"/>
          <w:sz w:val="32"/>
          <w:szCs w:val="32"/>
        </w:rPr>
        <w:t>2019年无涉及政府信息公开的收费及减免收费情况。</w:t>
      </w:r>
    </w:p>
    <w:p>
      <w:pPr>
        <w:rPr>
          <w:rFonts w:ascii="黑体" w:hAnsi="黑体" w:eastAsia="黑体"/>
          <w:sz w:val="32"/>
          <w:szCs w:val="32"/>
        </w:rPr>
      </w:pPr>
      <w:r>
        <w:rPr>
          <w:rFonts w:hint="eastAsia" w:ascii="黑体" w:hAnsi="黑体" w:eastAsia="黑体"/>
          <w:sz w:val="32"/>
          <w:szCs w:val="32"/>
        </w:rPr>
        <w:t>六、工作中存在的主要问题及改进措施</w:t>
      </w:r>
    </w:p>
    <w:p>
      <w:pPr>
        <w:ind w:firstLine="640" w:firstLineChars="200"/>
        <w:rPr>
          <w:rFonts w:ascii="仿宋" w:hAnsi="仿宋" w:eastAsia="仿宋"/>
          <w:sz w:val="32"/>
          <w:szCs w:val="32"/>
        </w:rPr>
      </w:pPr>
      <w:r>
        <w:rPr>
          <w:rFonts w:hint="eastAsia" w:ascii="仿宋" w:hAnsi="仿宋" w:eastAsia="仿宋"/>
          <w:sz w:val="32"/>
          <w:szCs w:val="32"/>
        </w:rPr>
        <w:t>一是政府信息公开工作认识不到位，缺乏有效的激励机制，报送信息的积极性尚需加强；二是政府信息主动公开的深度还有待进一步提高；三是政府信息公开渠道还有待进一步完善。具体的解决办法和改进措施：</w:t>
      </w:r>
    </w:p>
    <w:p>
      <w:pPr>
        <w:ind w:firstLine="640" w:firstLineChars="200"/>
        <w:rPr>
          <w:rFonts w:ascii="仿宋" w:hAnsi="仿宋" w:eastAsia="仿宋"/>
          <w:sz w:val="32"/>
          <w:szCs w:val="32"/>
        </w:rPr>
      </w:pPr>
      <w:r>
        <w:rPr>
          <w:rFonts w:hint="eastAsia" w:ascii="仿宋" w:hAnsi="仿宋" w:eastAsia="仿宋"/>
          <w:sz w:val="32"/>
          <w:szCs w:val="32"/>
        </w:rPr>
        <w:t>1.建立有效的信息报送考核机制，明确各单位年度信息报送的数量，充分调动报送信息的积极性。</w:t>
      </w:r>
    </w:p>
    <w:p>
      <w:pPr>
        <w:ind w:firstLine="640" w:firstLineChars="200"/>
        <w:rPr>
          <w:rFonts w:ascii="仿宋" w:hAnsi="仿宋" w:eastAsia="仿宋"/>
          <w:sz w:val="32"/>
          <w:szCs w:val="32"/>
        </w:rPr>
      </w:pPr>
      <w:r>
        <w:rPr>
          <w:rFonts w:hint="eastAsia" w:ascii="仿宋" w:hAnsi="仿宋" w:eastAsia="仿宋"/>
          <w:sz w:val="32"/>
          <w:szCs w:val="32"/>
        </w:rPr>
        <w:t>2.是围绕中心工作，公开公众普遍关注的热点难点问题。对涉及人民群众关心的重大问题，重大决策及时公开，同时有区别地抓好对内与对外公开，提高公开针对性。</w:t>
      </w:r>
    </w:p>
    <w:p>
      <w:pPr>
        <w:ind w:firstLine="640" w:firstLineChars="200"/>
        <w:rPr>
          <w:rFonts w:ascii="仿宋" w:hAnsi="仿宋" w:eastAsia="仿宋"/>
          <w:sz w:val="32"/>
          <w:szCs w:val="32"/>
        </w:rPr>
      </w:pPr>
      <w:r>
        <w:rPr>
          <w:rFonts w:hint="eastAsia" w:ascii="仿宋" w:hAnsi="仿宋" w:eastAsia="仿宋"/>
          <w:sz w:val="32"/>
          <w:szCs w:val="32"/>
        </w:rPr>
        <w:t>3.加大宣传力度，丰富信息公开手段，完善信息发布体系，综合运用纸质公开、电子公开等方式，增强信息公开的时效性和实效性。</w:t>
      </w:r>
    </w:p>
    <w:p>
      <w:pPr>
        <w:pStyle w:val="9"/>
        <w:shd w:val="clear" w:color="auto" w:fill="FFFFFF"/>
        <w:spacing w:before="0" w:beforeAutospacing="0" w:after="0" w:afterAutospacing="0"/>
        <w:ind w:firstLine="640"/>
        <w:rPr>
          <w:rFonts w:ascii="微软雅黑" w:hAnsi="微软雅黑" w:eastAsia="微软雅黑"/>
          <w:color w:val="333333"/>
        </w:rPr>
      </w:pPr>
      <w:r>
        <w:rPr>
          <w:rFonts w:hint="eastAsia" w:ascii="黑体" w:hAnsi="黑体" w:eastAsia="黑体"/>
          <w:color w:val="333333"/>
          <w:sz w:val="32"/>
          <w:szCs w:val="32"/>
        </w:rPr>
        <w:t>六、其他需要报告的事项</w:t>
      </w:r>
    </w:p>
    <w:p>
      <w:pPr>
        <w:pStyle w:val="9"/>
        <w:shd w:val="clear" w:color="auto" w:fill="FFFFFF"/>
        <w:wordWrap w:val="0"/>
        <w:spacing w:before="0" w:beforeAutospacing="0" w:after="0" w:afterAutospacing="0"/>
        <w:ind w:firstLine="640"/>
        <w:rPr>
          <w:rFonts w:ascii="微软雅黑" w:hAnsi="微软雅黑" w:eastAsia="微软雅黑"/>
          <w:color w:val="333333"/>
        </w:rPr>
      </w:pPr>
      <w:r>
        <w:rPr>
          <w:rFonts w:hint="eastAsia" w:ascii="仿宋_GB2312" w:hAnsi="微软雅黑" w:eastAsia="仿宋_GB2312"/>
          <w:color w:val="333333"/>
          <w:sz w:val="32"/>
          <w:szCs w:val="32"/>
        </w:rPr>
        <w:t>2019年度郑州市人民防空办公室无其他需要报告的事项。</w:t>
      </w:r>
    </w:p>
    <w:p>
      <w:pPr>
        <w:pStyle w:val="9"/>
        <w:shd w:val="clear" w:color="auto" w:fill="FFFFFF"/>
        <w:wordWrap w:val="0"/>
        <w:spacing w:before="0" w:beforeAutospacing="0" w:after="0" w:afterAutospacing="0"/>
        <w:ind w:firstLine="640"/>
        <w:rPr>
          <w:rFonts w:ascii="仿宋_GB2312" w:hAnsi="微软雅黑" w:eastAsia="仿宋_GB2312"/>
          <w:color w:val="333333"/>
          <w:sz w:val="32"/>
          <w:szCs w:val="32"/>
        </w:rPr>
      </w:pPr>
      <w:r>
        <w:rPr>
          <w:rFonts w:hint="eastAsia" w:ascii="仿宋_GB2312" w:hAnsi="微软雅黑" w:eastAsia="仿宋_GB2312"/>
          <w:color w:val="333333"/>
          <w:sz w:val="32"/>
          <w:szCs w:val="32"/>
        </w:rPr>
        <w:t> </w:t>
      </w:r>
    </w:p>
    <w:p>
      <w:pPr>
        <w:pStyle w:val="9"/>
        <w:shd w:val="clear" w:color="auto" w:fill="FFFFFF"/>
        <w:wordWrap w:val="0"/>
        <w:spacing w:before="0" w:beforeAutospacing="0" w:after="0" w:afterAutospacing="0"/>
        <w:ind w:firstLine="640"/>
        <w:rPr>
          <w:rFonts w:ascii="仿宋_GB2312" w:hAnsi="微软雅黑" w:eastAsia="仿宋_GB2312"/>
          <w:color w:val="333333"/>
          <w:sz w:val="32"/>
          <w:szCs w:val="32"/>
        </w:rPr>
      </w:pPr>
    </w:p>
    <w:p>
      <w:pPr>
        <w:pStyle w:val="9"/>
        <w:shd w:val="clear" w:color="auto" w:fill="FFFFFF"/>
        <w:wordWrap w:val="0"/>
        <w:spacing w:before="0" w:beforeAutospacing="0" w:after="0" w:afterAutospacing="0"/>
        <w:ind w:firstLine="640"/>
        <w:rPr>
          <w:rFonts w:ascii="微软雅黑" w:hAnsi="微软雅黑" w:eastAsia="微软雅黑"/>
          <w:color w:val="333333"/>
        </w:rPr>
      </w:pPr>
      <w:r>
        <w:rPr>
          <w:rFonts w:hint="eastAsia" w:ascii="仿宋_GB2312" w:hAnsi="微软雅黑" w:eastAsia="仿宋_GB2312"/>
          <w:color w:val="333333"/>
          <w:sz w:val="32"/>
          <w:szCs w:val="32"/>
        </w:rPr>
        <w:t xml:space="preserve">                                </w:t>
      </w:r>
      <w:r>
        <w:rPr>
          <w:rFonts w:ascii="仿宋_GB2312" w:hAnsi="微软雅黑" w:eastAsia="仿宋_GB2312"/>
          <w:color w:val="333333"/>
          <w:sz w:val="32"/>
          <w:szCs w:val="32"/>
        </w:rPr>
        <w:t>2020年1月19</w:t>
      </w:r>
      <w:r>
        <w:rPr>
          <w:rFonts w:hint="eastAsia" w:ascii="仿宋_GB2312" w:hAnsi="微软雅黑" w:eastAsia="仿宋_GB2312"/>
          <w:color w:val="333333"/>
          <w:sz w:val="32"/>
          <w:szCs w:val="32"/>
        </w:rPr>
        <w:t>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altName w:val="Noto Naskh Arabic"/>
    <w:panose1 w:val="020B0502040204020203"/>
    <w:charset w:val="00"/>
    <w:family w:val="swiss"/>
    <w:pitch w:val="default"/>
    <w:sig w:usb0="00000000" w:usb1="00000000" w:usb2="00000029" w:usb3="00000000" w:csb0="000001D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Naskh Arabic">
    <w:panose1 w:val="020B0502040504020204"/>
    <w:charset w:val="00"/>
    <w:family w:val="auto"/>
    <w:pitch w:val="default"/>
    <w:sig w:usb0="00002000" w:usb1="80000000" w:usb2="00000008" w:usb3="00000000" w:csb0="00000041" w:csb1="0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38"/>
    <w:rsid w:val="00033DB0"/>
    <w:rsid w:val="00035741"/>
    <w:rsid w:val="00244738"/>
    <w:rsid w:val="002A15D5"/>
    <w:rsid w:val="002D5C46"/>
    <w:rsid w:val="00304BE2"/>
    <w:rsid w:val="00422C68"/>
    <w:rsid w:val="00477EF5"/>
    <w:rsid w:val="004F01D9"/>
    <w:rsid w:val="005400EA"/>
    <w:rsid w:val="00557752"/>
    <w:rsid w:val="00590F1B"/>
    <w:rsid w:val="005A2CE9"/>
    <w:rsid w:val="00602C17"/>
    <w:rsid w:val="006B0313"/>
    <w:rsid w:val="007E675E"/>
    <w:rsid w:val="007F74F6"/>
    <w:rsid w:val="008303EB"/>
    <w:rsid w:val="008A1234"/>
    <w:rsid w:val="00946A2B"/>
    <w:rsid w:val="00A60148"/>
    <w:rsid w:val="00B544C5"/>
    <w:rsid w:val="00B9249C"/>
    <w:rsid w:val="00C54837"/>
    <w:rsid w:val="00C74078"/>
    <w:rsid w:val="00CE148C"/>
    <w:rsid w:val="00DB08C6"/>
    <w:rsid w:val="00E217F7"/>
    <w:rsid w:val="00E43FBE"/>
    <w:rsid w:val="00ED1CD0"/>
    <w:rsid w:val="00FA2064"/>
    <w:rsid w:val="00FC79E3"/>
    <w:rsid w:val="20B50F82"/>
    <w:rsid w:val="FB6FC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404</Words>
  <Characters>2307</Characters>
  <Lines>19</Lines>
  <Paragraphs>5</Paragraphs>
  <TotalTime>1716</TotalTime>
  <ScaleCrop>false</ScaleCrop>
  <LinksUpToDate>false</LinksUpToDate>
  <CharactersWithSpaces>2706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2020-01-15T12:58:00Z</dcterms:created>
  <dc:creator>lenovo</dc:creator>
  <cp:lastModifiedBy>greatwall</cp:lastModifiedBy>
  <cp:lastPrinted>2020-01-19T09:48:00Z</cp:lastPrinted>
  <dcterms:modified xsi:type="dcterms:W3CDTF">2022-02-24T09:57:23Z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