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3" w:firstLineChars="200"/>
        <w:jc w:val="center"/>
        <w:rPr>
          <w:rFonts w:hint="eastAsia" w:ascii="方正小标宋简体" w:eastAsia="方正小标宋简体"/>
          <w:sz w:val="44"/>
          <w:szCs w:val="36"/>
        </w:rPr>
      </w:pPr>
      <w:r>
        <w:rPr>
          <w:rFonts w:hint="eastAsia" w:ascii="方正小标宋简体" w:eastAsia="方正小标宋简体"/>
          <w:sz w:val="44"/>
          <w:szCs w:val="36"/>
        </w:rPr>
        <w:t>郑州市安全生产监督管理局2016</w:t>
      </w:r>
    </w:p>
    <w:p>
      <w:pPr>
        <w:spacing w:line="560" w:lineRule="exact"/>
        <w:ind w:firstLine="883" w:firstLineChars="200"/>
        <w:jc w:val="center"/>
        <w:rPr>
          <w:rFonts w:ascii="方正小标宋简体" w:eastAsia="方正小标宋简体"/>
          <w:sz w:val="44"/>
          <w:szCs w:val="36"/>
        </w:rPr>
      </w:pPr>
      <w:r>
        <w:rPr>
          <w:rFonts w:hint="eastAsia" w:ascii="方正小标宋简体" w:eastAsia="方正小标宋简体"/>
          <w:sz w:val="44"/>
          <w:szCs w:val="36"/>
        </w:rPr>
        <w:t>年</w:t>
      </w:r>
      <w:r>
        <w:rPr>
          <w:rFonts w:hint="eastAsia" w:ascii="方正小标宋简体" w:eastAsia="方正小标宋简体"/>
          <w:sz w:val="44"/>
          <w:szCs w:val="36"/>
          <w:lang w:eastAsia="zh-CN"/>
        </w:rPr>
        <w:t>度</w:t>
      </w:r>
      <w:bookmarkStart w:id="0" w:name="_GoBack"/>
      <w:bookmarkEnd w:id="0"/>
      <w:r>
        <w:rPr>
          <w:rFonts w:hint="eastAsia" w:ascii="方正小标宋简体" w:eastAsia="方正小标宋简体"/>
          <w:sz w:val="44"/>
          <w:szCs w:val="36"/>
        </w:rPr>
        <w:t>预算情况说明</w:t>
      </w:r>
    </w:p>
    <w:p>
      <w:pPr>
        <w:adjustRightInd w:val="0"/>
        <w:snapToGrid w:val="0"/>
        <w:spacing w:line="360" w:lineRule="auto"/>
        <w:ind w:firstLine="602" w:firstLineChars="200"/>
        <w:rPr>
          <w:rFonts w:ascii="仿宋" w:hAnsi="仿宋" w:eastAsia="仿宋"/>
          <w:b/>
          <w:sz w:val="30"/>
          <w:szCs w:val="30"/>
        </w:rPr>
      </w:pPr>
    </w:p>
    <w:p>
      <w:pPr>
        <w:adjustRightInd w:val="0"/>
        <w:snapToGrid w:val="0"/>
        <w:spacing w:line="360" w:lineRule="auto"/>
        <w:ind w:firstLine="602" w:firstLineChars="200"/>
        <w:rPr>
          <w:rFonts w:ascii="仿宋" w:hAnsi="仿宋" w:eastAsia="仿宋"/>
          <w:b/>
          <w:sz w:val="30"/>
          <w:szCs w:val="30"/>
        </w:rPr>
      </w:pPr>
      <w:r>
        <w:rPr>
          <w:rFonts w:hint="eastAsia" w:ascii="仿宋" w:hAnsi="仿宋" w:eastAsia="仿宋"/>
          <w:b/>
          <w:sz w:val="30"/>
          <w:szCs w:val="30"/>
        </w:rPr>
        <w:t>一、单位基本情况：</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郑州市安全生产监督管理局,为市政府工作部门。</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主要职责</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(一)贯彻执行安全生产法律、法规和规章,组织起草全市综合性安全生产地方性法规、规章草案,拟订全市安全生产政策、规划及工矿商贸行业安全生产规章草案、标准和规程并组织实施。</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二)承担全市安全生产综合监督管理责任,依法行使综合监督管理职权,指导协调、监督检查有关部门和县(市、区)政府的安全生产工作;定期分析和预测全市安全生产形势,发布安全生产信息,研究、协调和解决安全生产中的重大问题;监督检查安全生产责任追究落实情况;负责全市安全生产目标运行和安全生产大检查、专项督查。</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三)承担全市工矿商贸行业(煤炭生产经营单位除外,下同)安全生产监督管理责任,按照分级、属地、行业归口原则,依法监督检查工矿商贸生产经营单位贯彻执行安全生产法律法规情况及安全生产条件和有关设备(特种设备除外)、材料、重大危险源监控及重大事故隐患的排查治理工作,依法查处不具备安全生产条件的生产经营单位。</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四)按照管理权限,承担市管非煤矿矿山企业、危险化学品和烟花爆竹生产经营单位安全生产准入管理责任,依法组织并指导监督实施安全生产准入制度;负责危险化学品安全监督管理综合工作;负责烟花爆竹和非煤矿矿山安全生产监督管理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(五)承担工矿商贸作业场所(煤矿作业场所除外,下同)职业卫生监督检查责任,组织查处职业危害事故和违法违规行为。</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六)负责组织、协调安全生产应急救援工作;综合管理全市生产安全伤亡事故、安全生产和职业危害信息统计分析工作;依法组织、协调较大生产安全事故的调查处理工作并监督事故查处的落实情况;协助国家、省调查处理特别重大、重大事故。</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七)负责监督检查职责范围内新建、改建、扩建工程项目(以下简称建设项目)的安全设施与主体工程同时设计、同时施工、同时投产使用(以下简称“三同时”)情况;监督核查职责范围内建设项目安全设施的竣工验收。</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(八)指导协调全市安全生产检测检验工作,监督管理安全生产社会中介机构和安全评价工作。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九)组织、指导全市安全生产宣传教育和安全文化建设工作,负责安全生产监督管理人员安全培训、考核工作,依法组织、指导并监督特种作业人员(煤矿企业、特种设备作业人员除外)的考核工作和工矿商贸生产经营单位(煤矿企业除外)主要负责人、安全生产管理人员的安全资格考核工作,监督检查工矿商贸生产经营单位安全培训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(十)组织拟订全市安全科技规划,指导协调安全生产重大科学技术研究、科研成果申报、推广和技术示范工作。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(十一)指导协调和监督监察全市安全生产行政执法工作。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(十二)组织协调职责范围内注册安全工程师、注册助理安全工程师执业资格考试和注册管理相关工作。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(十三)组织开展全市安全生产方面的对外交流与合作。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(十四)负责市政府安全生产委员会办公室日常工作。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(十五)做好已取消行政审批事项的服务和监管工作。</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(十六)承办市政府交办的其他事项。</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根据上述职责,市安全生产监督管理局设办公室、政策法规处、综合协调处、安全监督管理一处、安全监督管理二处、安全监督管理三处(行政审批办公室)、事故统计调查处、职业安全健康监督管理处、组织人事处(机关党委)等9个内设机构，编制51人。</w:t>
      </w:r>
      <w:r>
        <w:rPr>
          <w:rFonts w:ascii="仿宋" w:hAnsi="仿宋" w:eastAsia="仿宋"/>
          <w:sz w:val="30"/>
          <w:szCs w:val="30"/>
        </w:rPr>
        <w:t>其中：行政编制</w:t>
      </w:r>
      <w:r>
        <w:rPr>
          <w:rFonts w:hint="eastAsia" w:ascii="仿宋" w:hAnsi="仿宋" w:eastAsia="仿宋"/>
          <w:sz w:val="30"/>
          <w:szCs w:val="30"/>
        </w:rPr>
        <w:t>48</w:t>
      </w:r>
      <w:r>
        <w:rPr>
          <w:rFonts w:ascii="仿宋" w:hAnsi="仿宋" w:eastAsia="仿宋"/>
          <w:sz w:val="30"/>
          <w:szCs w:val="30"/>
        </w:rPr>
        <w:t>人，事业编制</w:t>
      </w:r>
      <w:r>
        <w:rPr>
          <w:rFonts w:hint="eastAsia" w:ascii="仿宋" w:hAnsi="仿宋" w:eastAsia="仿宋"/>
          <w:sz w:val="30"/>
          <w:szCs w:val="30"/>
        </w:rPr>
        <w:t>3</w:t>
      </w:r>
      <w:r>
        <w:rPr>
          <w:rFonts w:ascii="仿宋" w:hAnsi="仿宋" w:eastAsia="仿宋"/>
          <w:sz w:val="30"/>
          <w:szCs w:val="30"/>
        </w:rPr>
        <w:t>人；在职职工</w:t>
      </w:r>
      <w:r>
        <w:rPr>
          <w:rFonts w:hint="eastAsia" w:ascii="仿宋" w:hAnsi="仿宋" w:eastAsia="仿宋"/>
          <w:sz w:val="30"/>
          <w:szCs w:val="30"/>
        </w:rPr>
        <w:t>51</w:t>
      </w:r>
      <w:r>
        <w:rPr>
          <w:rFonts w:ascii="仿宋" w:hAnsi="仿宋" w:eastAsia="仿宋"/>
          <w:sz w:val="30"/>
          <w:szCs w:val="30"/>
        </w:rPr>
        <w:t>人，离退休人员</w:t>
      </w:r>
      <w:r>
        <w:rPr>
          <w:rFonts w:hint="eastAsia" w:ascii="仿宋" w:hAnsi="仿宋" w:eastAsia="仿宋"/>
          <w:sz w:val="30"/>
          <w:szCs w:val="30"/>
        </w:rPr>
        <w:t>23</w:t>
      </w:r>
      <w:r>
        <w:rPr>
          <w:rFonts w:ascii="仿宋" w:hAnsi="仿宋" w:eastAsia="仿宋"/>
          <w:sz w:val="30"/>
          <w:szCs w:val="30"/>
        </w:rPr>
        <w:t>人</w:t>
      </w:r>
      <w:r>
        <w:rPr>
          <w:rFonts w:hint="eastAsia" w:ascii="仿宋" w:hAnsi="仿宋" w:eastAsia="仿宋" w:cs="宋体"/>
          <w:sz w:val="30"/>
          <w:szCs w:val="30"/>
        </w:rPr>
        <w:t>。</w:t>
      </w:r>
      <w:r>
        <w:rPr>
          <w:rFonts w:hint="eastAsia" w:ascii="仿宋" w:hAnsi="仿宋" w:eastAsia="仿宋"/>
          <w:sz w:val="30"/>
          <w:szCs w:val="30"/>
        </w:rPr>
        <w:t>下设郑州市安全生产监察支队（参照公务员管理编制56人,，</w:t>
      </w:r>
      <w:r>
        <w:rPr>
          <w:rFonts w:ascii="仿宋" w:hAnsi="仿宋" w:eastAsia="仿宋"/>
          <w:sz w:val="30"/>
          <w:szCs w:val="30"/>
        </w:rPr>
        <w:t>在职职工</w:t>
      </w:r>
      <w:r>
        <w:rPr>
          <w:rFonts w:hint="eastAsia" w:ascii="仿宋" w:hAnsi="仿宋" w:eastAsia="仿宋"/>
          <w:sz w:val="30"/>
          <w:szCs w:val="30"/>
        </w:rPr>
        <w:t>57</w:t>
      </w:r>
      <w:r>
        <w:rPr>
          <w:rFonts w:ascii="仿宋" w:hAnsi="仿宋" w:eastAsia="仿宋"/>
          <w:sz w:val="30"/>
          <w:szCs w:val="30"/>
        </w:rPr>
        <w:t>人</w:t>
      </w:r>
      <w:r>
        <w:rPr>
          <w:rFonts w:hint="eastAsia" w:ascii="仿宋" w:hAnsi="仿宋" w:eastAsia="仿宋"/>
          <w:sz w:val="30"/>
          <w:szCs w:val="30"/>
        </w:rPr>
        <w:t>）、郑州市安全生产应急救援指挥中心（全供事业编制6人，</w:t>
      </w:r>
      <w:r>
        <w:rPr>
          <w:rFonts w:ascii="仿宋" w:hAnsi="仿宋" w:eastAsia="仿宋"/>
          <w:sz w:val="30"/>
          <w:szCs w:val="30"/>
        </w:rPr>
        <w:t>在职职工</w:t>
      </w:r>
      <w:r>
        <w:rPr>
          <w:rFonts w:hint="eastAsia" w:ascii="仿宋" w:hAnsi="仿宋" w:eastAsia="仿宋"/>
          <w:sz w:val="30"/>
          <w:szCs w:val="30"/>
        </w:rPr>
        <w:t>6</w:t>
      </w:r>
      <w:r>
        <w:rPr>
          <w:rFonts w:ascii="仿宋" w:hAnsi="仿宋" w:eastAsia="仿宋"/>
          <w:sz w:val="30"/>
          <w:szCs w:val="30"/>
        </w:rPr>
        <w:t>人</w:t>
      </w:r>
      <w:r>
        <w:rPr>
          <w:rFonts w:hint="eastAsia" w:ascii="仿宋" w:hAnsi="仿宋" w:eastAsia="仿宋"/>
          <w:sz w:val="30"/>
          <w:szCs w:val="30"/>
        </w:rPr>
        <w:t>、）和郑州市安全生产教育中心（全供事业编制7人，</w:t>
      </w:r>
      <w:r>
        <w:rPr>
          <w:rFonts w:ascii="仿宋" w:hAnsi="仿宋" w:eastAsia="仿宋"/>
          <w:sz w:val="30"/>
          <w:szCs w:val="30"/>
        </w:rPr>
        <w:t>在职职工</w:t>
      </w:r>
      <w:r>
        <w:rPr>
          <w:rFonts w:hint="eastAsia" w:ascii="仿宋" w:hAnsi="仿宋" w:eastAsia="仿宋"/>
          <w:sz w:val="30"/>
          <w:szCs w:val="30"/>
        </w:rPr>
        <w:t>7</w:t>
      </w:r>
      <w:r>
        <w:rPr>
          <w:rFonts w:ascii="仿宋" w:hAnsi="仿宋" w:eastAsia="仿宋"/>
          <w:sz w:val="30"/>
          <w:szCs w:val="30"/>
        </w:rPr>
        <w:t>人</w:t>
      </w:r>
      <w:r>
        <w:rPr>
          <w:rFonts w:hint="eastAsia" w:ascii="仿宋" w:hAnsi="仿宋" w:eastAsia="仿宋"/>
          <w:sz w:val="30"/>
          <w:szCs w:val="30"/>
        </w:rPr>
        <w:t>，</w:t>
      </w:r>
      <w:r>
        <w:rPr>
          <w:rFonts w:ascii="仿宋" w:hAnsi="仿宋" w:eastAsia="仿宋"/>
          <w:sz w:val="30"/>
          <w:szCs w:val="30"/>
        </w:rPr>
        <w:t>离退休人员</w:t>
      </w:r>
      <w:r>
        <w:rPr>
          <w:rFonts w:hint="eastAsia" w:ascii="仿宋" w:hAnsi="仿宋" w:eastAsia="仿宋"/>
          <w:sz w:val="30"/>
          <w:szCs w:val="30"/>
        </w:rPr>
        <w:t>2</w:t>
      </w:r>
      <w:r>
        <w:rPr>
          <w:rFonts w:ascii="仿宋" w:hAnsi="仿宋" w:eastAsia="仿宋"/>
          <w:sz w:val="30"/>
          <w:szCs w:val="30"/>
        </w:rPr>
        <w:t>人</w:t>
      </w:r>
      <w:r>
        <w:rPr>
          <w:rFonts w:hint="eastAsia" w:ascii="仿宋" w:hAnsi="仿宋" w:eastAsia="仿宋"/>
          <w:sz w:val="30"/>
          <w:szCs w:val="30"/>
        </w:rPr>
        <w:t>）等三个二级机构。</w:t>
      </w:r>
    </w:p>
    <w:p>
      <w:pPr>
        <w:adjustRightInd w:val="0"/>
        <w:snapToGrid w:val="0"/>
        <w:spacing w:line="360" w:lineRule="auto"/>
        <w:ind w:firstLine="640"/>
        <w:rPr>
          <w:rFonts w:ascii="仿宋" w:hAnsi="仿宋" w:eastAsia="仿宋"/>
          <w:b/>
          <w:sz w:val="30"/>
          <w:szCs w:val="30"/>
        </w:rPr>
      </w:pPr>
      <w:r>
        <w:rPr>
          <w:rFonts w:hint="eastAsia" w:ascii="仿宋" w:hAnsi="仿宋" w:eastAsia="仿宋"/>
          <w:b/>
          <w:sz w:val="30"/>
          <w:szCs w:val="30"/>
        </w:rPr>
        <w:t>二、收入支出预算情况：</w:t>
      </w:r>
    </w:p>
    <w:p>
      <w:pPr>
        <w:adjustRightInd w:val="0"/>
        <w:snapToGrid w:val="0"/>
        <w:spacing w:line="360" w:lineRule="auto"/>
        <w:ind w:firstLine="643"/>
        <w:rPr>
          <w:rFonts w:ascii="仿宋" w:hAnsi="仿宋" w:eastAsia="仿宋"/>
          <w:sz w:val="30"/>
          <w:szCs w:val="30"/>
        </w:rPr>
      </w:pPr>
      <w:r>
        <w:rPr>
          <w:rFonts w:hint="eastAsia" w:ascii="仿宋" w:hAnsi="仿宋" w:eastAsia="仿宋"/>
          <w:sz w:val="30"/>
          <w:szCs w:val="30"/>
        </w:rPr>
        <w:t xml:space="preserve">（一）收入预算情况 </w:t>
      </w:r>
    </w:p>
    <w:p>
      <w:pPr>
        <w:adjustRightInd w:val="0"/>
        <w:snapToGrid w:val="0"/>
        <w:spacing w:line="360" w:lineRule="auto"/>
        <w:ind w:firstLine="640"/>
        <w:rPr>
          <w:rFonts w:ascii="仿宋" w:hAnsi="仿宋" w:eastAsia="仿宋"/>
          <w:sz w:val="30"/>
          <w:szCs w:val="30"/>
        </w:rPr>
      </w:pPr>
      <w:r>
        <w:rPr>
          <w:rFonts w:hint="eastAsia" w:ascii="仿宋" w:hAnsi="仿宋" w:eastAsia="仿宋"/>
          <w:sz w:val="30"/>
          <w:szCs w:val="30"/>
        </w:rPr>
        <w:t>2016年度收入总计2157.64万元，其中：财政拨款收入1807.74万元，国库管理的非税收入349.9万元。</w:t>
      </w:r>
    </w:p>
    <w:p>
      <w:pPr>
        <w:adjustRightInd w:val="0"/>
        <w:snapToGrid w:val="0"/>
        <w:spacing w:line="360" w:lineRule="auto"/>
        <w:ind w:firstLine="597" w:firstLineChars="199"/>
        <w:rPr>
          <w:rFonts w:ascii="仿宋" w:hAnsi="仿宋" w:eastAsia="仿宋"/>
          <w:sz w:val="30"/>
          <w:szCs w:val="30"/>
        </w:rPr>
      </w:pPr>
      <w:r>
        <w:rPr>
          <w:rFonts w:hint="eastAsia" w:ascii="仿宋" w:hAnsi="仿宋" w:eastAsia="仿宋"/>
          <w:sz w:val="30"/>
          <w:szCs w:val="30"/>
        </w:rPr>
        <w:t>（二）支出预算情况</w:t>
      </w:r>
    </w:p>
    <w:p>
      <w:pPr>
        <w:adjustRightInd w:val="0"/>
        <w:snapToGrid w:val="0"/>
        <w:spacing w:line="360" w:lineRule="auto"/>
        <w:ind w:firstLine="597" w:firstLineChars="199"/>
        <w:rPr>
          <w:rFonts w:ascii="仿宋" w:hAnsi="仿宋" w:eastAsia="仿宋"/>
          <w:sz w:val="30"/>
          <w:szCs w:val="30"/>
        </w:rPr>
      </w:pPr>
      <w:r>
        <w:rPr>
          <w:rFonts w:ascii="仿宋" w:hAnsi="仿宋" w:eastAsia="仿宋"/>
          <w:sz w:val="30"/>
          <w:szCs w:val="30"/>
        </w:rPr>
        <w:t>2016年支出预算</w:t>
      </w:r>
      <w:r>
        <w:rPr>
          <w:rFonts w:hint="eastAsia" w:ascii="仿宋" w:hAnsi="仿宋" w:eastAsia="仿宋"/>
          <w:sz w:val="30"/>
          <w:szCs w:val="30"/>
        </w:rPr>
        <w:t>2157.64</w:t>
      </w:r>
      <w:r>
        <w:rPr>
          <w:rFonts w:ascii="仿宋" w:hAnsi="仿宋" w:eastAsia="仿宋"/>
          <w:sz w:val="30"/>
          <w:szCs w:val="30"/>
        </w:rPr>
        <w:t>万元。按用途划分：工资福利支出</w:t>
      </w:r>
      <w:r>
        <w:rPr>
          <w:rFonts w:hint="eastAsia" w:ascii="仿宋" w:hAnsi="仿宋" w:eastAsia="仿宋"/>
          <w:sz w:val="30"/>
          <w:szCs w:val="30"/>
        </w:rPr>
        <w:t>748.47</w:t>
      </w:r>
      <w:r>
        <w:rPr>
          <w:rFonts w:ascii="仿宋" w:hAnsi="仿宋" w:eastAsia="仿宋"/>
          <w:sz w:val="30"/>
          <w:szCs w:val="30"/>
        </w:rPr>
        <w:t>万元，占全年支出</w:t>
      </w:r>
      <w:r>
        <w:rPr>
          <w:rFonts w:hint="eastAsia" w:ascii="仿宋" w:hAnsi="仿宋" w:eastAsia="仿宋"/>
          <w:sz w:val="30"/>
          <w:szCs w:val="30"/>
        </w:rPr>
        <w:t>34,69%</w:t>
      </w:r>
      <w:r>
        <w:rPr>
          <w:rFonts w:ascii="仿宋" w:hAnsi="仿宋" w:eastAsia="仿宋"/>
          <w:sz w:val="30"/>
          <w:szCs w:val="30"/>
        </w:rPr>
        <w:t>；对个人和家庭的补助</w:t>
      </w:r>
      <w:r>
        <w:rPr>
          <w:rFonts w:hint="eastAsia" w:ascii="仿宋" w:hAnsi="仿宋" w:eastAsia="仿宋"/>
          <w:sz w:val="30"/>
          <w:szCs w:val="30"/>
        </w:rPr>
        <w:t>320.97</w:t>
      </w:r>
      <w:r>
        <w:rPr>
          <w:rFonts w:ascii="仿宋" w:hAnsi="仿宋" w:eastAsia="仿宋"/>
          <w:sz w:val="30"/>
          <w:szCs w:val="30"/>
        </w:rPr>
        <w:t>万元，占全年支出</w:t>
      </w:r>
      <w:r>
        <w:rPr>
          <w:rFonts w:hint="eastAsia" w:ascii="仿宋" w:hAnsi="仿宋" w:eastAsia="仿宋"/>
          <w:sz w:val="30"/>
          <w:szCs w:val="30"/>
        </w:rPr>
        <w:t>14.88%</w:t>
      </w:r>
      <w:r>
        <w:rPr>
          <w:rFonts w:ascii="仿宋" w:hAnsi="仿宋" w:eastAsia="仿宋"/>
          <w:sz w:val="30"/>
          <w:szCs w:val="30"/>
        </w:rPr>
        <w:t>；</w:t>
      </w:r>
      <w:r>
        <w:rPr>
          <w:rFonts w:hint="eastAsia" w:ascii="仿宋" w:hAnsi="仿宋" w:eastAsia="仿宋"/>
          <w:sz w:val="30"/>
          <w:szCs w:val="30"/>
        </w:rPr>
        <w:t>公用及运转</w:t>
      </w:r>
      <w:r>
        <w:rPr>
          <w:rFonts w:ascii="仿宋" w:hAnsi="仿宋" w:eastAsia="仿宋"/>
          <w:sz w:val="30"/>
          <w:szCs w:val="30"/>
        </w:rPr>
        <w:t>支出</w:t>
      </w:r>
      <w:r>
        <w:rPr>
          <w:rFonts w:hint="eastAsia" w:ascii="仿宋" w:hAnsi="仿宋" w:eastAsia="仿宋"/>
          <w:sz w:val="30"/>
          <w:szCs w:val="30"/>
        </w:rPr>
        <w:t>926.2</w:t>
      </w:r>
      <w:r>
        <w:rPr>
          <w:rFonts w:ascii="仿宋" w:hAnsi="仿宋" w:eastAsia="仿宋"/>
          <w:sz w:val="30"/>
          <w:szCs w:val="30"/>
        </w:rPr>
        <w:t>万元，占全年支出</w:t>
      </w:r>
      <w:r>
        <w:rPr>
          <w:rFonts w:hint="eastAsia" w:ascii="仿宋" w:hAnsi="仿宋" w:eastAsia="仿宋"/>
          <w:sz w:val="30"/>
          <w:szCs w:val="30"/>
        </w:rPr>
        <w:t>42.93%</w:t>
      </w:r>
      <w:r>
        <w:rPr>
          <w:rFonts w:ascii="仿宋" w:hAnsi="仿宋" w:eastAsia="仿宋"/>
          <w:sz w:val="30"/>
          <w:szCs w:val="30"/>
        </w:rPr>
        <w:t>；项目支出</w:t>
      </w:r>
      <w:r>
        <w:rPr>
          <w:rFonts w:hint="eastAsia" w:ascii="仿宋" w:hAnsi="仿宋" w:eastAsia="仿宋"/>
          <w:sz w:val="30"/>
          <w:szCs w:val="30"/>
        </w:rPr>
        <w:t>162</w:t>
      </w:r>
      <w:r>
        <w:rPr>
          <w:rFonts w:ascii="仿宋" w:hAnsi="仿宋" w:eastAsia="仿宋"/>
          <w:sz w:val="30"/>
          <w:szCs w:val="30"/>
        </w:rPr>
        <w:t>万元，占全年支出</w:t>
      </w:r>
      <w:r>
        <w:rPr>
          <w:rFonts w:hint="eastAsia" w:ascii="仿宋" w:hAnsi="仿宋" w:eastAsia="仿宋"/>
          <w:sz w:val="30"/>
          <w:szCs w:val="30"/>
        </w:rPr>
        <w:t>7.51%</w:t>
      </w:r>
      <w:r>
        <w:rPr>
          <w:rFonts w:ascii="仿宋" w:hAnsi="仿宋" w:eastAsia="仿宋"/>
          <w:sz w:val="30"/>
          <w:szCs w:val="30"/>
        </w:rPr>
        <w:t>。主要项目是：安全生产月专项</w:t>
      </w:r>
      <w:r>
        <w:rPr>
          <w:rFonts w:hint="eastAsia" w:ascii="仿宋" w:hAnsi="仿宋" w:eastAsia="仿宋"/>
          <w:sz w:val="30"/>
          <w:szCs w:val="30"/>
        </w:rPr>
        <w:t>、</w:t>
      </w:r>
      <w:r>
        <w:rPr>
          <w:rFonts w:ascii="仿宋" w:hAnsi="仿宋" w:eastAsia="仿宋"/>
          <w:sz w:val="30"/>
          <w:szCs w:val="30"/>
        </w:rPr>
        <w:t>大检查大督查大整治专项。</w:t>
      </w:r>
    </w:p>
    <w:p>
      <w:pPr>
        <w:adjustRightInd w:val="0"/>
        <w:snapToGrid w:val="0"/>
        <w:spacing w:line="360" w:lineRule="auto"/>
        <w:ind w:firstLine="597" w:firstLineChars="199"/>
        <w:rPr>
          <w:rFonts w:ascii="仿宋" w:hAnsi="仿宋" w:eastAsia="仿宋"/>
          <w:sz w:val="30"/>
          <w:szCs w:val="30"/>
        </w:rPr>
      </w:pPr>
    </w:p>
    <w:p>
      <w:pPr>
        <w:adjustRightInd w:val="0"/>
        <w:snapToGrid w:val="0"/>
        <w:spacing w:line="360" w:lineRule="auto"/>
        <w:ind w:firstLine="597" w:firstLineChars="199"/>
        <w:rPr>
          <w:rFonts w:ascii="仿宋" w:hAnsi="仿宋" w:eastAsia="仿宋"/>
          <w:sz w:val="30"/>
          <w:szCs w:val="30"/>
        </w:rPr>
      </w:pPr>
    </w:p>
    <w:p>
      <w:pPr>
        <w:widowControl/>
        <w:shd w:val="clear" w:color="auto" w:fill="FFFFFF"/>
        <w:ind w:firstLine="600" w:firstLineChars="200"/>
        <w:jc w:val="left"/>
        <w:rPr>
          <w:rFonts w:eastAsia="仿宋_GB2312"/>
          <w:sz w:val="30"/>
          <w:szCs w:val="30"/>
        </w:rPr>
      </w:pP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31B6"/>
    <w:rsid w:val="0016771E"/>
    <w:rsid w:val="001A79F0"/>
    <w:rsid w:val="001F36EC"/>
    <w:rsid w:val="00227F76"/>
    <w:rsid w:val="00304199"/>
    <w:rsid w:val="003178ED"/>
    <w:rsid w:val="00370BB0"/>
    <w:rsid w:val="0041088F"/>
    <w:rsid w:val="004852BE"/>
    <w:rsid w:val="005070E6"/>
    <w:rsid w:val="00582512"/>
    <w:rsid w:val="0066770F"/>
    <w:rsid w:val="0067503F"/>
    <w:rsid w:val="006E7763"/>
    <w:rsid w:val="00716819"/>
    <w:rsid w:val="007224F6"/>
    <w:rsid w:val="00723C11"/>
    <w:rsid w:val="0086548A"/>
    <w:rsid w:val="009A31E6"/>
    <w:rsid w:val="009C6CCB"/>
    <w:rsid w:val="00A4089F"/>
    <w:rsid w:val="00B83B1F"/>
    <w:rsid w:val="00B84DD4"/>
    <w:rsid w:val="00BB4BA4"/>
    <w:rsid w:val="00E22E8D"/>
    <w:rsid w:val="00E931B6"/>
    <w:rsid w:val="00F6015E"/>
    <w:rsid w:val="00F96D2A"/>
    <w:rsid w:val="20DE0AB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263</Words>
  <Characters>1500</Characters>
  <Lines>12</Lines>
  <Paragraphs>3</Paragraphs>
  <TotalTime>0</TotalTime>
  <ScaleCrop>false</ScaleCrop>
  <LinksUpToDate>false</LinksUpToDate>
  <CharactersWithSpaces>1760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2016-03-29T02:13:00Z</dcterms:created>
  <dc:creator>lenovo</dc:creator>
  <cp:lastModifiedBy>Administrator</cp:lastModifiedBy>
  <dcterms:modified xsi:type="dcterms:W3CDTF">2016-03-30T01:54:58Z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