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附表1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各区县（市）推进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动产和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权利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担保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融资服务目标任务</w:t>
      </w:r>
    </w:p>
    <w:bookmarkEnd w:id="0"/>
    <w:tbl>
      <w:tblPr>
        <w:tblStyle w:val="3"/>
        <w:tblpPr w:leftFromText="180" w:rightFromText="180" w:vertAnchor="text" w:horzAnchor="page" w:tblpX="1777" w:tblpY="32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00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县区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目标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（登记笔数）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航空港区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郑东新区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高新区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经开区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中原区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  <w:t>二七区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金水区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管城区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惠济区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上街区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中牟县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新郑市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13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新密市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荥阳市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eastAsia="zh-CN" w:bidi="ar-SA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登封市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4005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巩义市</w:t>
            </w:r>
          </w:p>
        </w:tc>
        <w:tc>
          <w:tcPr>
            <w:tcW w:w="2840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2100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135C"/>
    <w:rsid w:val="DF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2021-11-09T10:54:00Z</dcterms:created>
  <dc:creator>greatwall</dc:creator>
  <cp:lastModifiedBy>greatwall</cp:lastModifiedBy>
  <dcterms:modified xsi:type="dcterms:W3CDTF">2021-11-09T10:59:37Z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