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87" w:rsidRDefault="00181E87" w:rsidP="00181E87">
      <w:pPr>
        <w:widowControl w:val="0"/>
        <w:topLinePunct/>
        <w:spacing w:after="0" w:line="620" w:lineRule="exact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</w:p>
    <w:p w:rsidR="00181E87" w:rsidRDefault="00181E87" w:rsidP="00181E87">
      <w:pPr>
        <w:widowControl w:val="0"/>
        <w:topLinePunct/>
        <w:spacing w:after="0" w:line="62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6"/>
          <w:sz w:val="44"/>
          <w:szCs w:val="44"/>
        </w:rPr>
      </w:pPr>
      <w:bookmarkStart w:id="0" w:name="_Toc313693495"/>
    </w:p>
    <w:p w:rsidR="00181E87" w:rsidRDefault="00181E87" w:rsidP="00181E87">
      <w:pPr>
        <w:widowControl w:val="0"/>
        <w:topLinePunct/>
        <w:spacing w:after="0" w:line="62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pacing w:val="6"/>
          <w:sz w:val="44"/>
          <w:szCs w:val="44"/>
        </w:rPr>
        <w:t>2019年度河南省科普统计调查方案</w:t>
      </w:r>
      <w:bookmarkEnd w:id="0"/>
    </w:p>
    <w:p w:rsidR="00181E87" w:rsidRDefault="00181E87" w:rsidP="00181E87">
      <w:pPr>
        <w:spacing w:after="0" w:line="620" w:lineRule="exact"/>
        <w:ind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181E87" w:rsidRDefault="00181E87" w:rsidP="00181E87">
      <w:pPr>
        <w:pStyle w:val="1"/>
        <w:spacing w:line="620" w:lineRule="exact"/>
        <w:ind w:firstLine="640"/>
        <w:rPr>
          <w:rFonts w:ascii="黑体" w:hAnsi="黑体" w:cs="黑体"/>
          <w:bCs/>
          <w:color w:val="000000" w:themeColor="text1"/>
        </w:rPr>
      </w:pPr>
      <w:r>
        <w:rPr>
          <w:rFonts w:ascii="黑体" w:hAnsi="黑体" w:cs="黑体" w:hint="eastAsia"/>
          <w:bCs/>
          <w:color w:val="000000" w:themeColor="text1"/>
        </w:rPr>
        <w:t>一、科普统计的内容和任务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普统计是全省科技统计的重要组成部分。通过开展全省科普统计调查，可以使政府管理部门及时掌握全省科普资源概况，更好地监测全省科普工作质量，为政府制定科普政策提供依据。全省科普统计的内容包括两个方面：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调查全省科普资源投入状况，具体内容包括：科普人员、科普场地、科普经费、科普传媒、科普活动以及创新创业中的科普等，共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大类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个指标。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监测全省科普工作运行状况，了解全省科普活动开展的总体情况。</w:t>
      </w:r>
    </w:p>
    <w:p w:rsidR="00181E87" w:rsidRDefault="00181E87" w:rsidP="00181E87">
      <w:pPr>
        <w:pStyle w:val="1"/>
        <w:spacing w:line="620" w:lineRule="exact"/>
        <w:ind w:firstLine="640"/>
        <w:rPr>
          <w:rFonts w:ascii="黑体" w:hAnsi="黑体" w:cs="黑体"/>
          <w:bCs/>
          <w:color w:val="000000" w:themeColor="text1"/>
        </w:rPr>
      </w:pPr>
      <w:r>
        <w:rPr>
          <w:rFonts w:ascii="黑体" w:hAnsi="黑体" w:cs="黑体" w:hint="eastAsia"/>
          <w:bCs/>
          <w:color w:val="000000" w:themeColor="text1"/>
        </w:rPr>
        <w:t>二、科普统计的范围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本次统计的范围包括各省辖市人民政府、济源示范区管委会、各省直管县（市）人民政府有关部门及其直属单位、社会团体等机构和组织。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统计填报单位主要包括：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省级单位：省委宣传部（含新闻出版局）、省发展改革委、省教育厅、省科技厅、省工业和信息化厅、省民委、省公安厅、省民政厅、省人力资源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社会保障厅、省自然资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源厅（含省林草局）、省生态环境厅、省住房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城乡建设厅、省交通运输厅、省水利厅、省农业农村厅、省文化和旅游厅、省卫生健康委、省应急厅（含省地震局、省煤矿安监局）、省国资委、省市场监管局（含省药监局、省知识产权局）、省广电局、省体育局、省科学院、省社科院、省气象局、省粮食和储备局、省科工局、省共青团、省工会、省妇联、省科协等。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市级单位：市委宣传部（含新闻出版局）、市发展改革委、市教育局、市科技局、市工业和信息化局（委）、市民委、市公安局、市民政局、市人力资源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社会保障局、市自然资源局（含市林草局）、市生态环境局、市住房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城乡建设局、市交通运输局、市水利局、市农业农村局、市文化和旅游局、市卫生健康委、市应急局（含市地震局、市煤矿安监局）、市国资委、市市场监管局（含市药监局、市知识产权局）、市广电局、市体育局、市科学院、市社科院、市气象局、市粮食和储备局、市共青团、市工会、市妇联、市科协等。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县级单位：县委宣传部（含新闻出版局）、县发展改革委、县教育局、县科技局、县工业和信息化局（委）、县民委、县公安局、县民政局、县人力资源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社会保障局、县自然资源局（含县林草局）、县生态环境局、县住房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城乡建设局、县交通运输局、县水利局、县农业农村局、县文化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和旅游局、县卫生健康委、县应急局（含县地震局、县煤矿安监局）、县国资委、县市场监管局（含县药监局、县知识产权局）、县广电局、县体育局、县气象局、县粮食和储备局、县共青团、县工会、县妇联、县科协等。</w:t>
      </w:r>
    </w:p>
    <w:p w:rsidR="00181E87" w:rsidRDefault="00181E87" w:rsidP="00181E87">
      <w:pPr>
        <w:pStyle w:val="1"/>
        <w:spacing w:line="620" w:lineRule="exact"/>
        <w:ind w:firstLine="640"/>
        <w:rPr>
          <w:bCs/>
          <w:color w:val="000000" w:themeColor="text1"/>
        </w:rPr>
      </w:pPr>
      <w:r>
        <w:rPr>
          <w:bCs/>
          <w:color w:val="000000" w:themeColor="text1"/>
        </w:rPr>
        <w:t>三、科普统计的组织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普统计由省科技厅牵头，负责制定统计方案，提出工作要求，指导和协调省直各有关部门、各有关单位科技主管部门和各省辖市、济源示范区、直管县（市）科技管理部门的统计工作。河南省高技术创业服务中心（以下简称省创业中心）负责具体统计实施工作。各省辖市、济源示范区、直管县（市）科技行政管理部门牵头组织本行政区域内各单位的科普统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工作</w:t>
      </w:r>
      <w:bookmarkStart w:id="1" w:name="_GoBack"/>
      <w:bookmarkEnd w:id="1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181E87" w:rsidRDefault="00181E87" w:rsidP="00181E87">
      <w:pPr>
        <w:pStyle w:val="1"/>
        <w:spacing w:line="620" w:lineRule="exact"/>
        <w:ind w:firstLine="640"/>
        <w:rPr>
          <w:bCs/>
          <w:color w:val="000000" w:themeColor="text1"/>
        </w:rPr>
      </w:pPr>
      <w:r>
        <w:rPr>
          <w:bCs/>
          <w:color w:val="000000" w:themeColor="text1"/>
        </w:rPr>
        <w:t>四、科普统计的操作步骤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全省科普统计按省直各有关部门、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各有关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单位及市、县分级实施，采取条块结合的方式。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科技厅负责全省科普统计。包括：向省直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有关部门、各有关单位和各省辖市、济源示范区、直管县（市）科技管理部门布置科普统计任务，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统计人员在线填报培训，审核数据；把全省所有调查表录入全国科普统计数据库，建立全省科普统计数据库；将全省数据汇总后盖章的纸质调查表报送科技部。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有关部门、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各有关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单位负责本部门、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单位及其直属机构的科普统计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任务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。包括：向直属机构布置科普统计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任务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并对有关人员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进行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在线填报培训，审核数据；将本部门、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单位的数据汇总后盖章的纸质调查表报送省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科技厅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市科技局负责本市科普统计。包括：向本市同级有关部门、所属县科技局布置科普统计任务，对统计人员进行培训，审核数据；将本市数据汇总后盖章的纸质调查表报送省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科技厅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县科技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行政管理部门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负责本县科普统计。包括：向本县同级有关部门布置科普统计任务，对统计人员进行培训，审核数据；将本县数据汇总后盖章的纸质调查表报送市科技局。</w:t>
      </w:r>
    </w:p>
    <w:p w:rsidR="00181E87" w:rsidRDefault="00181E87" w:rsidP="00181E87">
      <w:pPr>
        <w:pStyle w:val="1"/>
        <w:spacing w:line="620" w:lineRule="exact"/>
        <w:ind w:firstLine="640"/>
        <w:rPr>
          <w:bCs/>
          <w:color w:val="000000" w:themeColor="text1"/>
        </w:rPr>
      </w:pPr>
      <w:r>
        <w:rPr>
          <w:bCs/>
          <w:color w:val="000000" w:themeColor="text1"/>
        </w:rPr>
        <w:t>五、在线填报系统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年度全国科普统计工作实行数据在线填报，各填报单位可以在中国科技情报网（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http://kptj.chinainfo.org.cn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）登录填报、审核、提交数据。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科普统计培训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PPT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及培训教材由中国科学技术信息研究所编写，可在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上述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网址下载。</w:t>
      </w:r>
    </w:p>
    <w:p w:rsidR="00181E87" w:rsidRDefault="00181E87" w:rsidP="00181E87">
      <w:pPr>
        <w:pStyle w:val="1"/>
        <w:spacing w:line="620" w:lineRule="exact"/>
        <w:ind w:firstLine="640"/>
        <w:rPr>
          <w:rFonts w:ascii="黑体" w:hAnsi="黑体" w:cs="黑体"/>
          <w:bCs/>
          <w:color w:val="000000" w:themeColor="text1"/>
        </w:rPr>
      </w:pPr>
      <w:r>
        <w:rPr>
          <w:rFonts w:ascii="黑体" w:hAnsi="黑体" w:cs="黑体" w:hint="eastAsia"/>
          <w:bCs/>
          <w:color w:val="000000" w:themeColor="text1"/>
        </w:rPr>
        <w:t>六、填报时间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请各省辖市、济源示范区、直管县（市）科技管理部门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省直各有关部门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、各有关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单位务必于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日前确保本地区、本部门完成在线填报及数据的审核与汇总，并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将本部门、本地区数据汇总后盖章的纸质调查表报送省创业中心。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（省直各有关部门、各有关单位无需在线填报，由省科技厅负责在线填报）</w:t>
      </w:r>
    </w:p>
    <w:p w:rsidR="00181E87" w:rsidRDefault="00181E87" w:rsidP="00181E87">
      <w:pPr>
        <w:pStyle w:val="1"/>
        <w:spacing w:line="620" w:lineRule="exact"/>
        <w:ind w:firstLine="640"/>
        <w:rPr>
          <w:rFonts w:ascii="黑体" w:hAnsi="黑体" w:cs="黑体"/>
          <w:bCs/>
          <w:color w:val="000000" w:themeColor="text1"/>
        </w:rPr>
      </w:pPr>
      <w:r>
        <w:rPr>
          <w:rFonts w:ascii="黑体" w:hAnsi="黑体" w:cs="黑体" w:hint="eastAsia"/>
          <w:bCs/>
          <w:color w:val="000000" w:themeColor="text1"/>
        </w:rPr>
        <w:t>七、数据的修正和反馈</w:t>
      </w:r>
      <w:r>
        <w:rPr>
          <w:rFonts w:ascii="黑体" w:hAnsi="黑体" w:cs="黑体" w:hint="eastAsia"/>
          <w:bCs/>
          <w:color w:val="000000" w:themeColor="text1"/>
        </w:rPr>
        <w:tab/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调查数据的质量是统计工作的灵魂。没有严格的数据质量控制，难以保障数据填报的真实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性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。各级科技管理部门和填报单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位要以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高度的责任心，对填报的数据进行层层把关。为明确责任，严控数据质量，对各级有关部门责任划分如下：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省科技厅对省直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各有关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部门、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各有关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单位和各省辖市、济源示范区、直管县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（市）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科技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管理部门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填报的数据进行审核，对有疑义或明显错误的数据，要求其进行核实和修正；省直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有关部门、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各有关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单位对本部门、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单位上报省科技厅的数据负责，并应对本系统下属市级部门、单位上报数据进行审核，协助省科技厅做好数据质量控制工作。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市科技局对本市同级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有关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部门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所属各县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科技局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数据进行审核，对有疑义或明显错误的数据，应要求其进行核实和修正；其他市级相关部门对本部门报送市科技局的数据负责，并应对本系统下属县级部门、单位上报数据进行抽查，协助市科技局做好数据质量控制工作。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县科技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行政管理部门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对本县同级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有关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部门的数据进行审核，对有疑义或明显错误的数据，应要求其进行核实和修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正；其他县级相关部门对本部门填报的数据负责，协助县科技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行政管理部门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做好数据质量控制工作。</w:t>
      </w:r>
    </w:p>
    <w:p w:rsidR="00181E87" w:rsidRDefault="00181E87" w:rsidP="00181E87">
      <w:pPr>
        <w:pStyle w:val="1"/>
        <w:spacing w:line="620" w:lineRule="exact"/>
        <w:ind w:firstLine="640"/>
        <w:rPr>
          <w:rFonts w:ascii="黑体" w:hAnsi="黑体" w:cs="黑体"/>
          <w:bCs/>
          <w:color w:val="000000" w:themeColor="text1"/>
        </w:rPr>
      </w:pPr>
      <w:r>
        <w:rPr>
          <w:rFonts w:ascii="黑体" w:hAnsi="黑体" w:cs="黑体" w:hint="eastAsia"/>
          <w:bCs/>
          <w:color w:val="000000" w:themeColor="text1"/>
        </w:rPr>
        <w:t>八、注意事项</w:t>
      </w:r>
    </w:p>
    <w:p w:rsidR="00181E87" w:rsidRDefault="00181E87" w:rsidP="00181E87">
      <w:pPr>
        <w:spacing w:after="0" w:line="6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科普场馆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部分的填报要求。凡在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科普场地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报表中填写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科普场馆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数据的单位，均需确保此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科普场馆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的数据单独在线填报，不能与其他单位汇总填报。</w:t>
      </w:r>
    </w:p>
    <w:p w:rsidR="00181E87" w:rsidRDefault="00181E87" w:rsidP="00181E87">
      <w:pPr>
        <w:adjustRightInd/>
        <w:snapToGrid/>
        <w:spacing w:after="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181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C75" w:rsidRDefault="00157C75" w:rsidP="00181E87">
      <w:pPr>
        <w:spacing w:after="0"/>
      </w:pPr>
      <w:r>
        <w:separator/>
      </w:r>
    </w:p>
  </w:endnote>
  <w:endnote w:type="continuationSeparator" w:id="1">
    <w:p w:rsidR="00157C75" w:rsidRDefault="00157C75" w:rsidP="00181E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C75" w:rsidRDefault="00157C75" w:rsidP="00181E87">
      <w:pPr>
        <w:spacing w:after="0"/>
      </w:pPr>
      <w:r>
        <w:separator/>
      </w:r>
    </w:p>
  </w:footnote>
  <w:footnote w:type="continuationSeparator" w:id="1">
    <w:p w:rsidR="00157C75" w:rsidRDefault="00157C75" w:rsidP="00181E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E87"/>
    <w:rsid w:val="00157C75"/>
    <w:rsid w:val="0018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8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qFormat/>
    <w:rsid w:val="00181E87"/>
    <w:pPr>
      <w:widowControl w:val="0"/>
      <w:spacing w:after="0" w:line="353" w:lineRule="auto"/>
      <w:ind w:firstLineChars="200" w:firstLine="576"/>
      <w:jc w:val="both"/>
      <w:outlineLvl w:val="0"/>
    </w:pPr>
    <w:rPr>
      <w:rFonts w:ascii="Times New Roman" w:eastAsia="黑体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link w:val="2Char"/>
    <w:qFormat/>
    <w:rsid w:val="00181E87"/>
    <w:pPr>
      <w:widowControl w:val="0"/>
      <w:spacing w:after="0" w:line="353" w:lineRule="auto"/>
      <w:ind w:firstLineChars="200" w:firstLine="576"/>
      <w:jc w:val="both"/>
      <w:outlineLvl w:val="1"/>
    </w:pPr>
    <w:rPr>
      <w:rFonts w:ascii="Times New Roman" w:eastAsia="楷体_GB2312" w:hAnsi="Times New Roman" w:cs="Times New Roman"/>
      <w:kern w:val="2"/>
      <w:sz w:val="32"/>
      <w:szCs w:val="32"/>
    </w:rPr>
  </w:style>
  <w:style w:type="paragraph" w:styleId="3">
    <w:name w:val="heading 3"/>
    <w:basedOn w:val="a"/>
    <w:next w:val="a"/>
    <w:link w:val="3Char"/>
    <w:qFormat/>
    <w:rsid w:val="00181E87"/>
    <w:pPr>
      <w:widowControl w:val="0"/>
      <w:spacing w:after="0" w:line="353" w:lineRule="auto"/>
      <w:ind w:firstLineChars="200" w:firstLine="576"/>
      <w:jc w:val="both"/>
      <w:outlineLvl w:val="2"/>
    </w:pPr>
    <w:rPr>
      <w:rFonts w:ascii="Times New Roman" w:eastAsia="仿宋_GB2312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81E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181E8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81E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181E87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81E87"/>
    <w:rPr>
      <w:rFonts w:ascii="Times New Roman" w:eastAsia="黑体" w:hAnsi="Times New Roman" w:cs="Times New Roman"/>
      <w:sz w:val="32"/>
      <w:szCs w:val="32"/>
    </w:rPr>
  </w:style>
  <w:style w:type="character" w:customStyle="1" w:styleId="2Char">
    <w:name w:val="标题 2 Char"/>
    <w:basedOn w:val="a0"/>
    <w:link w:val="2"/>
    <w:qFormat/>
    <w:rsid w:val="00181E87"/>
    <w:rPr>
      <w:rFonts w:ascii="Times New Roman" w:eastAsia="楷体_GB2312" w:hAnsi="Times New Roman" w:cs="Times New Roman"/>
      <w:sz w:val="32"/>
      <w:szCs w:val="32"/>
    </w:rPr>
  </w:style>
  <w:style w:type="character" w:customStyle="1" w:styleId="3Char">
    <w:name w:val="标题 3 Char"/>
    <w:basedOn w:val="a0"/>
    <w:link w:val="3"/>
    <w:qFormat/>
    <w:rsid w:val="00181E87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181E8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qFormat/>
    <w:rsid w:val="00181E87"/>
    <w:rPr>
      <w:rFonts w:ascii="Tahoma" w:eastAsia="微软雅黑" w:hAnsi="Tahoma"/>
      <w:kern w:val="0"/>
      <w:sz w:val="22"/>
    </w:rPr>
  </w:style>
  <w:style w:type="table" w:styleId="a6">
    <w:name w:val="Table Grid"/>
    <w:basedOn w:val="a1"/>
    <w:uiPriority w:val="59"/>
    <w:qFormat/>
    <w:rsid w:val="00181E8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181E87"/>
  </w:style>
  <w:style w:type="character" w:styleId="a8">
    <w:name w:val="Hyperlink"/>
    <w:basedOn w:val="a0"/>
    <w:uiPriority w:val="99"/>
    <w:unhideWhenUsed/>
    <w:qFormat/>
    <w:rsid w:val="00181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2020-05-29T07:33:00Z</dcterms:created>
  <dcterms:modified xsi:type="dcterms:W3CDTF">2020-05-29T07:35:00Z</dcterms:modified>
</cp:coreProperties>
</file>