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pPr w:leftFromText="180" w:rightFromText="180" w:vertAnchor="text" w:horzAnchor="page" w:tblpX="1571" w:tblpY="213"/>
        <w:tblOverlap w:val="never"/>
        <w:tblW w:w="8972" w:type="dxa"/>
        <w:tblInd w:w="0" w:type="dxa"/>
        <w:tblBorders>
          <w:top w:val="none" w:color="auto" w:sz="0" w:space="0"/>
          <w:left w:val="none" w:color="auto" w:sz="0" w:space="0"/>
          <w:bottom w:val="single" w:color="FF0000" w:sz="18"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507"/>
        <w:gridCol w:w="2779"/>
        <w:gridCol w:w="1462"/>
        <w:gridCol w:w="224"/>
      </w:tblGrid>
      <w:tr>
        <w:tblPrEx>
          <w:tblBorders>
            <w:top w:val="none" w:color="auto" w:sz="0" w:space="0"/>
            <w:left w:val="none" w:color="auto" w:sz="0" w:space="0"/>
            <w:bottom w:val="single" w:color="FF0000" w:sz="18" w:space="0"/>
            <w:right w:val="none" w:color="auto" w:sz="0" w:space="0"/>
            <w:insideH w:val="none" w:color="auto" w:sz="0" w:space="0"/>
            <w:insideV w:val="none" w:color="auto" w:sz="0" w:space="0"/>
          </w:tblBorders>
        </w:tblPrEx>
        <w:trPr>
          <w:cantSplit/>
          <w:trHeight w:val="535" w:hRule="atLeast"/>
        </w:trPr>
        <w:tc>
          <w:tcPr>
            <w:tcW w:w="4507" w:type="dxa"/>
            <w:noWrap w:val="0"/>
            <w:vAlign w:val="top"/>
          </w:tcPr>
          <w:p>
            <w:pPr>
              <w:rPr>
                <w:rFonts w:hint="default" w:ascii="Times New Roman" w:hAnsi="Times New Roman" w:eastAsia="仿宋_GB2312" w:cs="Times New Roman"/>
                <w:sz w:val="32"/>
                <w:szCs w:val="20"/>
              </w:rPr>
            </w:pPr>
          </w:p>
        </w:tc>
        <w:tc>
          <w:tcPr>
            <w:tcW w:w="4465" w:type="dxa"/>
            <w:gridSpan w:val="3"/>
            <w:noWrap w:val="0"/>
            <w:vAlign w:val="top"/>
          </w:tcPr>
          <w:p>
            <w:pPr>
              <w:pStyle w:val="13"/>
              <w:tabs>
                <w:tab w:val="left" w:pos="3732"/>
              </w:tabs>
              <w:jc w:val="both"/>
              <w:rPr>
                <w:rFonts w:hint="default" w:ascii="Times New Roman" w:hAnsi="Times New Roman" w:cs="Times New Roman"/>
                <w:szCs w:val="20"/>
              </w:rPr>
            </w:pPr>
            <w:bookmarkStart w:id="0" w:name="PrivateLevel"/>
            <w:bookmarkEnd w:id="0"/>
            <w:bookmarkStart w:id="1" w:name="PrivateTime"/>
            <w:bookmarkEnd w:id="1"/>
            <w:r>
              <w:rPr>
                <w:rFonts w:hint="default" w:ascii="Times New Roman" w:hAnsi="Times New Roman" w:cs="Times New Roman"/>
                <w:szCs w:val="20"/>
              </w:rPr>
              <w:tab/>
            </w:r>
          </w:p>
        </w:tc>
      </w:tr>
      <w:tr>
        <w:tblPrEx>
          <w:tblBorders>
            <w:top w:val="none" w:color="auto" w:sz="0" w:space="0"/>
            <w:left w:val="none" w:color="auto" w:sz="0" w:space="0"/>
            <w:bottom w:val="single" w:color="FF0000" w:sz="18"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82" w:hRule="atLeast"/>
        </w:trPr>
        <w:tc>
          <w:tcPr>
            <w:tcW w:w="8972" w:type="dxa"/>
            <w:gridSpan w:val="4"/>
            <w:noWrap w:val="0"/>
            <w:vAlign w:val="top"/>
          </w:tcPr>
          <w:p>
            <w:pPr>
              <w:pStyle w:val="13"/>
              <w:rPr>
                <w:rFonts w:hint="default" w:ascii="Times New Roman" w:hAnsi="Times New Roman" w:cs="Times New Roman"/>
                <w:szCs w:val="20"/>
              </w:rPr>
            </w:pPr>
          </w:p>
        </w:tc>
      </w:tr>
      <w:tr>
        <w:tblPrEx>
          <w:tblBorders>
            <w:top w:val="none" w:color="auto" w:sz="0" w:space="0"/>
            <w:left w:val="none" w:color="auto" w:sz="0" w:space="0"/>
            <w:bottom w:val="single" w:color="FF0000" w:sz="18"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24" w:type="dxa"/>
          <w:cantSplit/>
          <w:trHeight w:val="851" w:hRule="exact"/>
        </w:trPr>
        <w:tc>
          <w:tcPr>
            <w:tcW w:w="7286" w:type="dxa"/>
            <w:gridSpan w:val="2"/>
            <w:noWrap w:val="0"/>
            <w:vAlign w:val="center"/>
          </w:tcPr>
          <w:p>
            <w:pPr>
              <w:pStyle w:val="3"/>
              <w:jc w:val="center"/>
              <w:rPr>
                <w:rFonts w:hint="default" w:ascii="Times New Roman" w:hAnsi="Times New Roman" w:cs="Times New Roman"/>
                <w:szCs w:val="20"/>
              </w:rPr>
            </w:pPr>
          </w:p>
          <w:p>
            <w:pPr>
              <w:rPr>
                <w:rFonts w:hint="default" w:ascii="Times New Roman" w:hAnsi="Times New Roman" w:eastAsia="仿宋_GB2312" w:cs="Times New Roman"/>
                <w:sz w:val="32"/>
                <w:szCs w:val="20"/>
              </w:rPr>
            </w:pPr>
          </w:p>
          <w:p>
            <w:pPr>
              <w:rPr>
                <w:rFonts w:hint="default" w:ascii="Times New Roman" w:hAnsi="Times New Roman" w:eastAsia="仿宋_GB2312" w:cs="Times New Roman"/>
                <w:sz w:val="32"/>
                <w:szCs w:val="20"/>
              </w:rPr>
            </w:pPr>
          </w:p>
        </w:tc>
        <w:tc>
          <w:tcPr>
            <w:tcW w:w="1462" w:type="dxa"/>
            <w:vMerge w:val="restart"/>
            <w:noWrap w:val="0"/>
            <w:vAlign w:val="center"/>
          </w:tcPr>
          <w:p>
            <w:pPr>
              <w:pStyle w:val="3"/>
              <w:jc w:val="center"/>
              <w:rPr>
                <w:rFonts w:hint="default" w:ascii="Times New Roman" w:hAnsi="Times New Roman" w:cs="Times New Roman"/>
                <w:szCs w:val="20"/>
              </w:rPr>
            </w:pPr>
          </w:p>
        </w:tc>
      </w:tr>
      <w:tr>
        <w:tblPrEx>
          <w:tblBorders>
            <w:top w:val="none" w:color="auto" w:sz="0" w:space="0"/>
            <w:left w:val="none" w:color="auto" w:sz="0" w:space="0"/>
            <w:bottom w:val="single" w:color="FF0000" w:sz="18"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24" w:type="dxa"/>
          <w:cantSplit/>
          <w:trHeight w:val="1244" w:hRule="exact"/>
        </w:trPr>
        <w:tc>
          <w:tcPr>
            <w:tcW w:w="7286" w:type="dxa"/>
            <w:gridSpan w:val="2"/>
            <w:noWrap w:val="0"/>
            <w:vAlign w:val="center"/>
          </w:tcPr>
          <w:p>
            <w:pPr>
              <w:rPr>
                <w:rFonts w:hint="default" w:ascii="Times New Roman" w:hAnsi="Times New Roman" w:eastAsia="仿宋_GB2312" w:cs="Times New Roman"/>
                <w:sz w:val="32"/>
                <w:szCs w:val="20"/>
              </w:rPr>
            </w:pPr>
          </w:p>
          <w:p>
            <w:pPr>
              <w:rPr>
                <w:rFonts w:hint="default" w:ascii="Times New Roman" w:hAnsi="Times New Roman" w:eastAsia="仿宋_GB2312" w:cs="Times New Roman"/>
                <w:sz w:val="32"/>
                <w:szCs w:val="20"/>
              </w:rPr>
            </w:pPr>
          </w:p>
          <w:p>
            <w:pPr>
              <w:rPr>
                <w:rFonts w:hint="default" w:ascii="Times New Roman" w:hAnsi="Times New Roman" w:eastAsia="仿宋_GB2312" w:cs="Times New Roman"/>
                <w:sz w:val="32"/>
                <w:szCs w:val="20"/>
              </w:rPr>
            </w:pPr>
          </w:p>
        </w:tc>
        <w:tc>
          <w:tcPr>
            <w:tcW w:w="1462" w:type="dxa"/>
            <w:vMerge w:val="continue"/>
            <w:noWrap w:val="0"/>
            <w:vAlign w:val="center"/>
          </w:tcPr>
          <w:p>
            <w:pPr>
              <w:pStyle w:val="3"/>
              <w:jc w:val="center"/>
              <w:rPr>
                <w:rFonts w:hint="default" w:ascii="Times New Roman" w:hAnsi="Times New Roman" w:cs="Times New Roman"/>
                <w:szCs w:val="20"/>
              </w:rPr>
            </w:pPr>
          </w:p>
        </w:tc>
      </w:tr>
      <w:tr>
        <w:tblPrEx>
          <w:tblBorders>
            <w:top w:val="none" w:color="auto" w:sz="0" w:space="0"/>
            <w:left w:val="none" w:color="auto" w:sz="0" w:space="0"/>
            <w:bottom w:val="single" w:color="FF0000" w:sz="18"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376" w:hRule="atLeast"/>
        </w:trPr>
        <w:tc>
          <w:tcPr>
            <w:tcW w:w="8972" w:type="dxa"/>
            <w:gridSpan w:val="4"/>
            <w:tcBorders>
              <w:bottom w:val="nil"/>
            </w:tcBorders>
            <w:noWrap w:val="0"/>
            <w:vAlign w:val="bottom"/>
          </w:tcPr>
          <w:p>
            <w:pPr>
              <w:tabs>
                <w:tab w:val="left" w:pos="5291"/>
              </w:tabs>
              <w:spacing w:line="480" w:lineRule="exact"/>
              <w:jc w:val="center"/>
              <w:rPr>
                <w:rFonts w:hint="default" w:ascii="Times New Roman" w:hAnsi="Times New Roman" w:eastAsia="仿宋_GB2312" w:cs="Times New Roman"/>
                <w:sz w:val="32"/>
                <w:szCs w:val="20"/>
              </w:rPr>
            </w:pPr>
            <w:r>
              <w:rPr>
                <w:rFonts w:hint="default" w:ascii="Times New Roman" w:hAnsi="Times New Roman" w:eastAsia="仿宋_GB2312" w:cs="Times New Roman"/>
                <w:sz w:val="32"/>
                <w:szCs w:val="20"/>
              </w:rPr>
              <w:t>郑</w:t>
            </w:r>
            <w:r>
              <w:rPr>
                <w:rFonts w:hint="default" w:ascii="Times New Roman" w:hAnsi="Times New Roman" w:eastAsia="仿宋_GB2312" w:cs="Times New Roman"/>
                <w:sz w:val="32"/>
                <w:szCs w:val="20"/>
                <w:lang w:eastAsia="zh-CN"/>
              </w:rPr>
              <w:t>人防</w:t>
            </w:r>
            <w:r>
              <w:rPr>
                <w:rFonts w:hint="default" w:ascii="Times New Roman" w:hAnsi="Times New Roman" w:eastAsia="仿宋_GB2312" w:cs="Times New Roman"/>
                <w:sz w:val="32"/>
                <w:szCs w:val="20"/>
              </w:rPr>
              <w:t>〔20</w:t>
            </w:r>
            <w:r>
              <w:rPr>
                <w:rFonts w:hint="default" w:ascii="Times New Roman" w:hAnsi="Times New Roman" w:eastAsia="仿宋_GB2312" w:cs="Times New Roman"/>
                <w:sz w:val="32"/>
                <w:szCs w:val="20"/>
                <w:lang w:val="en-US" w:eastAsia="zh-CN"/>
              </w:rPr>
              <w:t>22</w:t>
            </w:r>
            <w:r>
              <w:rPr>
                <w:rFonts w:hint="default" w:ascii="Times New Roman" w:hAnsi="Times New Roman" w:eastAsia="仿宋_GB2312" w:cs="Times New Roman"/>
                <w:sz w:val="32"/>
                <w:szCs w:val="20"/>
              </w:rPr>
              <w:t>〕</w:t>
            </w:r>
            <w:r>
              <w:rPr>
                <w:rFonts w:hint="default" w:ascii="Times New Roman" w:hAnsi="Times New Roman" w:eastAsia="仿宋_GB2312" w:cs="Times New Roman"/>
                <w:sz w:val="32"/>
                <w:szCs w:val="20"/>
                <w:lang w:val="en-US" w:eastAsia="zh-CN"/>
              </w:rPr>
              <w:t>4</w:t>
            </w:r>
            <w:r>
              <w:rPr>
                <w:rFonts w:hint="eastAsia" w:ascii="Times New Roman" w:hAnsi="Times New Roman" w:eastAsia="仿宋_GB2312" w:cs="Times New Roman"/>
                <w:sz w:val="32"/>
                <w:szCs w:val="20"/>
                <w:lang w:val="en-US" w:eastAsia="zh-CN"/>
              </w:rPr>
              <w:t>6</w:t>
            </w:r>
            <w:r>
              <w:rPr>
                <w:rFonts w:hint="default" w:ascii="Times New Roman" w:hAnsi="Times New Roman" w:eastAsia="仿宋_GB2312" w:cs="Times New Roman"/>
                <w:sz w:val="32"/>
                <w:szCs w:val="20"/>
                <w:lang w:val="en-US" w:eastAsia="zh-CN"/>
              </w:rPr>
              <w:t xml:space="preserve">号                        </w:t>
            </w:r>
          </w:p>
        </w:tc>
      </w:tr>
    </w:tbl>
    <w:p>
      <w:pPr>
        <w:spacing w:line="240" w:lineRule="exact"/>
        <w:rPr>
          <w:rFonts w:hint="default" w:ascii="Times New Roman" w:hAnsi="Times New Roman" w:eastAsia="仿宋_GB2312" w:cs="Times New Roman"/>
          <w:sz w:val="32"/>
          <w:szCs w:val="20"/>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sz w:val="44"/>
          <w:szCs w:val="5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郑州市人民防空办公室</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宋体" w:eastAsia="方正小标宋简体"/>
          <w:bCs/>
          <w:sz w:val="44"/>
          <w:szCs w:val="44"/>
        </w:rPr>
      </w:pPr>
      <w:r>
        <w:rPr>
          <w:rFonts w:hint="eastAsia" w:ascii="方正小标宋简体" w:hAnsi="方正小标宋简体" w:eastAsia="方正小标宋简体" w:cs="方正小标宋简体"/>
          <w:sz w:val="44"/>
          <w:szCs w:val="44"/>
        </w:rPr>
        <w:t>关于印发20</w:t>
      </w:r>
      <w:r>
        <w:rPr>
          <w:rFonts w:hint="eastAsia" w:ascii="方正小标宋简体" w:hAnsi="方正小标宋简体" w:eastAsia="方正小标宋简体" w:cs="方正小标宋简体"/>
          <w:sz w:val="44"/>
          <w:szCs w:val="44"/>
          <w:lang w:val="en-US" w:eastAsia="zh-CN"/>
        </w:rPr>
        <w:t>2</w:t>
      </w:r>
      <w:r>
        <w:rPr>
          <w:rFonts w:hint="default" w:ascii="方正小标宋简体" w:hAnsi="方正小标宋简体" w:eastAsia="方正小标宋简体" w:cs="方正小标宋简体"/>
          <w:sz w:val="44"/>
          <w:szCs w:val="44"/>
          <w:lang w:val="en" w:eastAsia="zh-CN"/>
        </w:rPr>
        <w:t>2</w:t>
      </w:r>
      <w:r>
        <w:rPr>
          <w:rFonts w:hint="eastAsia" w:ascii="方正小标宋简体" w:hAnsi="方正小标宋简体" w:eastAsia="方正小标宋简体" w:cs="方正小标宋简体"/>
          <w:sz w:val="44"/>
          <w:szCs w:val="44"/>
        </w:rPr>
        <w:t>年度学法计划的通知</w:t>
      </w:r>
    </w:p>
    <w:p>
      <w:pPr>
        <w:rPr>
          <w:rFonts w:hint="eastAsia" w:ascii="仿宋_GB2312" w:hAnsi="仿宋_GB2312" w:eastAsia="仿宋_GB2312" w:cs="仿宋_GB2312"/>
          <w:sz w:val="32"/>
          <w:szCs w:val="32"/>
        </w:rPr>
      </w:pPr>
    </w:p>
    <w:p>
      <w:pPr>
        <w:spacing w:line="560" w:lineRule="exact"/>
        <w:rPr>
          <w:rFonts w:hint="eastAsia" w:ascii="仿宋_GB2312" w:eastAsia="仿宋_GB2312"/>
          <w:sz w:val="32"/>
          <w:szCs w:val="32"/>
        </w:rPr>
      </w:pPr>
      <w:r>
        <w:rPr>
          <w:rFonts w:hint="eastAsia" w:ascii="仿宋_GB2312" w:eastAsia="仿宋_GB2312"/>
          <w:sz w:val="32"/>
          <w:szCs w:val="32"/>
        </w:rPr>
        <w:t>机关各处室、直属</w:t>
      </w:r>
      <w:r>
        <w:rPr>
          <w:rFonts w:hint="eastAsia" w:ascii="仿宋_GB2312"/>
          <w:sz w:val="32"/>
          <w:szCs w:val="32"/>
          <w:lang w:eastAsia="zh-CN"/>
        </w:rPr>
        <w:t>各</w:t>
      </w:r>
      <w:r>
        <w:rPr>
          <w:rFonts w:hint="eastAsia" w:ascii="仿宋_GB2312" w:eastAsia="仿宋_GB2312"/>
          <w:sz w:val="32"/>
          <w:szCs w:val="32"/>
        </w:rPr>
        <w:t>单位：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现将《郑州市人民防空办公室20</w:t>
      </w:r>
      <w:r>
        <w:rPr>
          <w:rFonts w:hint="eastAsia" w:ascii="仿宋_GB2312" w:eastAsia="仿宋_GB2312"/>
          <w:sz w:val="32"/>
          <w:szCs w:val="32"/>
          <w:lang w:val="en-US" w:eastAsia="zh-CN"/>
        </w:rPr>
        <w:t>2</w:t>
      </w:r>
      <w:r>
        <w:rPr>
          <w:rFonts w:hint="default" w:ascii="仿宋_GB2312"/>
          <w:sz w:val="32"/>
          <w:szCs w:val="32"/>
          <w:lang w:val="en" w:eastAsia="zh-CN"/>
        </w:rPr>
        <w:t>2</w:t>
      </w:r>
      <w:r>
        <w:rPr>
          <w:rFonts w:hint="eastAsia" w:ascii="仿宋_GB2312" w:eastAsia="仿宋_GB2312"/>
          <w:sz w:val="32"/>
          <w:szCs w:val="32"/>
        </w:rPr>
        <w:t>年度学法计划》印发给你们，请结合实际，采取有效措施，认真贯彻执行</w:t>
      </w:r>
      <w:r>
        <w:rPr>
          <w:rFonts w:hint="eastAsia" w:ascii="仿宋_GB2312" w:eastAsia="仿宋_GB2312"/>
          <w:sz w:val="32"/>
          <w:szCs w:val="32"/>
          <w:lang w:eastAsia="zh-CN"/>
        </w:rPr>
        <w:t>，</w:t>
      </w:r>
      <w:r>
        <w:rPr>
          <w:rFonts w:hint="eastAsia" w:ascii="仿宋_GB2312" w:eastAsia="仿宋_GB2312"/>
          <w:sz w:val="32"/>
          <w:szCs w:val="32"/>
        </w:rPr>
        <w:t>确保学法计划落</w:t>
      </w:r>
      <w:r>
        <w:rPr>
          <w:rFonts w:hint="eastAsia" w:ascii="仿宋_GB2312" w:eastAsia="仿宋_GB2312"/>
          <w:sz w:val="32"/>
          <w:szCs w:val="32"/>
          <w:lang w:eastAsia="zh-CN"/>
        </w:rPr>
        <w:t>到</w:t>
      </w:r>
      <w:r>
        <w:rPr>
          <w:rFonts w:hint="eastAsia" w:ascii="仿宋_GB2312" w:eastAsia="仿宋_GB2312"/>
          <w:sz w:val="32"/>
          <w:szCs w:val="32"/>
        </w:rPr>
        <w:t>实</w:t>
      </w:r>
      <w:r>
        <w:rPr>
          <w:rFonts w:hint="eastAsia" w:ascii="仿宋_GB2312" w:eastAsia="仿宋_GB2312"/>
          <w:sz w:val="32"/>
          <w:szCs w:val="32"/>
          <w:lang w:eastAsia="zh-CN"/>
        </w:rPr>
        <w:t>处</w:t>
      </w:r>
      <w:r>
        <w:rPr>
          <w:rFonts w:hint="eastAsia" w:ascii="仿宋_GB2312" w:eastAsia="仿宋_GB2312"/>
          <w:sz w:val="32"/>
          <w:szCs w:val="32"/>
        </w:rPr>
        <w:t>。</w:t>
      </w:r>
    </w:p>
    <w:p>
      <w:pPr>
        <w:pStyle w:val="2"/>
        <w:rPr>
          <w:rFonts w:hint="eastAsia"/>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附件：</w:t>
      </w:r>
      <w:r>
        <w:rPr>
          <w:rFonts w:hint="eastAsia" w:ascii="仿宋_GB2312" w:eastAsia="仿宋_GB2312"/>
          <w:sz w:val="32"/>
          <w:szCs w:val="32"/>
        </w:rPr>
        <w:t>郑州市人民防空办公室20</w:t>
      </w:r>
      <w:r>
        <w:rPr>
          <w:rFonts w:hint="eastAsia" w:ascii="仿宋_GB2312" w:eastAsia="仿宋_GB2312"/>
          <w:sz w:val="32"/>
          <w:szCs w:val="32"/>
          <w:lang w:val="en-US" w:eastAsia="zh-CN"/>
        </w:rPr>
        <w:t>2</w:t>
      </w:r>
      <w:r>
        <w:rPr>
          <w:rFonts w:hint="default" w:ascii="仿宋_GB2312"/>
          <w:sz w:val="32"/>
          <w:szCs w:val="32"/>
          <w:lang w:val="en" w:eastAsia="zh-CN"/>
        </w:rPr>
        <w:t>2</w:t>
      </w:r>
      <w:r>
        <w:rPr>
          <w:rFonts w:hint="eastAsia" w:ascii="仿宋_GB2312" w:eastAsia="仿宋_GB2312"/>
          <w:sz w:val="32"/>
          <w:szCs w:val="32"/>
        </w:rPr>
        <w:t>年度学法计划</w:t>
      </w:r>
    </w:p>
    <w:p>
      <w:pPr>
        <w:widowControl/>
        <w:spacing w:line="520" w:lineRule="exact"/>
        <w:jc w:val="both"/>
        <w:rPr>
          <w:rFonts w:hint="eastAsia" w:ascii="黑体" w:hAnsi="黑体" w:eastAsia="黑体" w:cs="黑体"/>
          <w:bCs/>
          <w:sz w:val="32"/>
          <w:szCs w:val="32"/>
          <w:lang w:eastAsia="zh-CN"/>
        </w:rPr>
      </w:pPr>
    </w:p>
    <w:p>
      <w:pPr>
        <w:widowControl/>
        <w:spacing w:line="700" w:lineRule="exact"/>
        <w:jc w:val="center"/>
        <w:rPr>
          <w:rFonts w:hint="eastAsia" w:ascii="方正小标宋简体" w:hAnsi="宋体" w:eastAsia="方正小标宋简体"/>
          <w:bCs/>
          <w:sz w:val="44"/>
          <w:szCs w:val="44"/>
        </w:rPr>
      </w:pPr>
    </w:p>
    <w:p>
      <w:pPr>
        <w:widowControl/>
        <w:spacing w:line="700" w:lineRule="exact"/>
        <w:jc w:val="center"/>
        <w:rPr>
          <w:rFonts w:hint="eastAsia" w:ascii="方正小标宋简体" w:hAnsi="宋体" w:eastAsia="方正小标宋简体"/>
          <w:bCs/>
          <w:sz w:val="44"/>
          <w:szCs w:val="44"/>
        </w:rPr>
      </w:pPr>
      <w:r>
        <w:rPr>
          <w:rFonts w:hint="eastAsia" w:ascii="仿宋_GB2312" w:hAnsi="仿宋_GB2312" w:eastAsia="仿宋_GB2312" w:cs="仿宋_GB2312"/>
          <w:bCs/>
          <w:sz w:val="32"/>
          <w:szCs w:val="32"/>
        </w:rPr>
        <w:t xml:space="preserve">                      20</w:t>
      </w:r>
      <w:r>
        <w:rPr>
          <w:rFonts w:hint="eastAsia" w:ascii="仿宋_GB2312" w:hAnsi="仿宋_GB2312" w:eastAsia="仿宋_GB2312" w:cs="仿宋_GB2312"/>
          <w:bCs/>
          <w:sz w:val="32"/>
          <w:szCs w:val="32"/>
          <w:lang w:val="en-US" w:eastAsia="zh-CN"/>
        </w:rPr>
        <w:t>2</w:t>
      </w:r>
      <w:r>
        <w:rPr>
          <w:rFonts w:hint="eastAsia" w:ascii="仿宋_GB2312" w:hAnsi="仿宋_GB2312" w:cs="仿宋_GB2312"/>
          <w:bCs/>
          <w:sz w:val="32"/>
          <w:szCs w:val="32"/>
          <w:lang w:val="en-US" w:eastAsia="zh-CN"/>
        </w:rPr>
        <w:t>2</w:t>
      </w:r>
      <w:r>
        <w:rPr>
          <w:rFonts w:hint="eastAsia" w:ascii="仿宋_GB2312" w:hAnsi="仿宋_GB2312" w:eastAsia="仿宋_GB2312" w:cs="仿宋_GB2312"/>
          <w:bCs/>
          <w:sz w:val="32"/>
          <w:szCs w:val="32"/>
        </w:rPr>
        <w:t>年</w:t>
      </w:r>
      <w:r>
        <w:rPr>
          <w:rFonts w:hint="eastAsia" w:ascii="仿宋_GB2312" w:hAnsi="仿宋_GB2312" w:cs="仿宋_GB2312"/>
          <w:bCs/>
          <w:sz w:val="32"/>
          <w:szCs w:val="32"/>
          <w:lang w:val="en-US" w:eastAsia="zh-CN"/>
        </w:rPr>
        <w:t>5</w:t>
      </w:r>
      <w:r>
        <w:rPr>
          <w:rFonts w:hint="eastAsia" w:ascii="仿宋_GB2312" w:hAnsi="仿宋_GB2312" w:eastAsia="仿宋_GB2312" w:cs="仿宋_GB2312"/>
          <w:bCs/>
          <w:sz w:val="32"/>
          <w:szCs w:val="32"/>
        </w:rPr>
        <w:t>月</w:t>
      </w:r>
      <w:r>
        <w:rPr>
          <w:rFonts w:hint="eastAsia" w:ascii="仿宋_GB2312" w:hAnsi="仿宋_GB2312" w:cs="仿宋_GB2312"/>
          <w:bCs/>
          <w:sz w:val="32"/>
          <w:szCs w:val="32"/>
          <w:lang w:val="en-US" w:eastAsia="zh-CN"/>
        </w:rPr>
        <w:t>26</w:t>
      </w:r>
      <w:r>
        <w:rPr>
          <w:rFonts w:hint="eastAsia" w:ascii="仿宋_GB2312" w:hAnsi="仿宋_GB2312" w:eastAsia="仿宋_GB2312" w:cs="仿宋_GB2312"/>
          <w:bCs/>
          <w:sz w:val="32"/>
          <w:szCs w:val="32"/>
        </w:rPr>
        <w:t>日</w:t>
      </w:r>
    </w:p>
    <w:p>
      <w:pPr>
        <w:widowControl/>
        <w:spacing w:line="520" w:lineRule="exact"/>
        <w:jc w:val="both"/>
        <w:rPr>
          <w:rFonts w:hint="eastAsia" w:ascii="黑体" w:hAnsi="黑体" w:eastAsia="黑体" w:cs="黑体"/>
          <w:bCs/>
          <w:sz w:val="32"/>
          <w:szCs w:val="32"/>
          <w:lang w:eastAsia="zh-CN"/>
        </w:rPr>
      </w:pPr>
    </w:p>
    <w:p>
      <w:pPr>
        <w:pStyle w:val="2"/>
        <w:rPr>
          <w:rFonts w:hint="eastAsia" w:ascii="黑体" w:hAnsi="黑体" w:eastAsia="黑体" w:cs="黑体"/>
          <w:bCs/>
          <w:sz w:val="32"/>
          <w:szCs w:val="32"/>
          <w:lang w:eastAsia="zh-CN"/>
        </w:rPr>
      </w:pPr>
    </w:p>
    <w:p>
      <w:pPr>
        <w:widowControl/>
        <w:spacing w:line="520" w:lineRule="exact"/>
        <w:jc w:val="both"/>
        <w:rPr>
          <w:rFonts w:hint="eastAsia" w:ascii="黑体" w:hAnsi="黑体" w:eastAsia="黑体" w:cs="黑体"/>
          <w:bCs/>
          <w:sz w:val="32"/>
          <w:szCs w:val="32"/>
          <w:lang w:eastAsia="zh-CN"/>
        </w:rPr>
      </w:pPr>
      <w:r>
        <w:rPr>
          <w:rFonts w:hint="eastAsia" w:ascii="黑体" w:hAnsi="黑体" w:eastAsia="黑体" w:cs="黑体"/>
          <w:bCs/>
          <w:sz w:val="32"/>
          <w:szCs w:val="32"/>
          <w:lang w:eastAsia="zh-CN"/>
        </w:rPr>
        <w:t>附件</w:t>
      </w:r>
    </w:p>
    <w:p>
      <w:pPr>
        <w:widowControl/>
        <w:spacing w:line="520" w:lineRule="exact"/>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郑州市人民防空办公室</w:t>
      </w:r>
    </w:p>
    <w:p>
      <w:pPr>
        <w:widowControl/>
        <w:spacing w:line="520" w:lineRule="exact"/>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20</w:t>
      </w:r>
      <w:r>
        <w:rPr>
          <w:rFonts w:hint="eastAsia" w:ascii="方正小标宋简体" w:hAnsi="宋体" w:eastAsia="方正小标宋简体"/>
          <w:bCs/>
          <w:sz w:val="44"/>
          <w:szCs w:val="44"/>
          <w:lang w:val="en-US" w:eastAsia="zh-CN"/>
        </w:rPr>
        <w:t>2</w:t>
      </w:r>
      <w:r>
        <w:rPr>
          <w:rFonts w:hint="default" w:ascii="方正小标宋简体" w:hAnsi="宋体" w:eastAsia="方正小标宋简体"/>
          <w:bCs/>
          <w:sz w:val="44"/>
          <w:szCs w:val="44"/>
          <w:lang w:val="en" w:eastAsia="zh-CN"/>
        </w:rPr>
        <w:t>2</w:t>
      </w:r>
      <w:r>
        <w:rPr>
          <w:rFonts w:hint="eastAsia" w:ascii="方正小标宋简体" w:hAnsi="宋体" w:eastAsia="方正小标宋简体"/>
          <w:bCs/>
          <w:sz w:val="44"/>
          <w:szCs w:val="44"/>
        </w:rPr>
        <w:t>年度学法计划</w:t>
      </w:r>
    </w:p>
    <w:p>
      <w:pPr>
        <w:spacing w:line="560" w:lineRule="exact"/>
        <w:rPr>
          <w:rFonts w:hint="eastAsia" w:ascii="仿宋_GB2312" w:eastAsia="仿宋_GB2312"/>
          <w:sz w:val="32"/>
          <w:szCs w:val="32"/>
        </w:rPr>
      </w:pPr>
      <w:r>
        <w:rPr>
          <w:rFonts w:hint="eastAsia" w:ascii="仿宋_GB2312" w:eastAsia="仿宋_GB2312"/>
          <w:sz w:val="32"/>
          <w:szCs w:val="32"/>
        </w:rPr>
        <w:t xml:space="preserve">    </w:t>
      </w:r>
    </w:p>
    <w:p>
      <w:pPr>
        <w:spacing w:line="560" w:lineRule="exact"/>
        <w:ind w:firstLine="622"/>
        <w:rPr>
          <w:rFonts w:hint="eastAsia" w:ascii="仿宋_GB2312" w:eastAsia="仿宋_GB2312"/>
          <w:sz w:val="32"/>
          <w:szCs w:val="32"/>
        </w:rPr>
      </w:pPr>
      <w:r>
        <w:rPr>
          <w:rFonts w:hint="eastAsia" w:ascii="仿宋_GB2312" w:hAnsi="Times New Roman" w:eastAsia="仿宋_GB2312" w:cs="Times New Roman"/>
          <w:sz w:val="32"/>
          <w:szCs w:val="32"/>
          <w:u w:val="none"/>
          <w:lang w:val="en-US" w:eastAsia="zh-CN"/>
        </w:rPr>
        <w:t>为进一步强化领导干部法治思维和法治意识，提高依法行政水平，深入推进我办依法行政工作，培养和增强我办干部职工依法决策、依法行政、依法管理的水平，依据《郑州市人民政府办公厅关于印发〈郑州市人民政府2022年度领导干部学法计划〉的通知》的文件精神，结合人防工作实际，制定本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一、指导思想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sz w:val="32"/>
          <w:szCs w:val="32"/>
          <w:lang w:val="en-US" w:eastAsia="zh-CN"/>
        </w:rPr>
      </w:pPr>
      <w:r>
        <w:rPr>
          <w:rFonts w:hint="eastAsia" w:ascii="仿宋_GB2312" w:hAnsi="仿宋_GB2312" w:eastAsia="仿宋_GB2312" w:cs="仿宋_GB2312"/>
          <w:sz w:val="32"/>
          <w:szCs w:val="32"/>
          <w:lang w:val="en-US" w:eastAsia="zh-CN"/>
        </w:rPr>
        <w:t>坚持以习近平新时代中国特色社会主义思想为指导,全面贯彻党的十九大和十九届历次全会精神,深入贯彻习近平法治思想,持续提升领导干部运用法治思维和法治方式深化改革、推动发展、化解矛盾、维护稳定、应对风险的能力,做尊法学法守法用法的模范,全面建设职能科学、权责法定、执法严明、公开公正、职能高效、廉洁诚信、人民满意的法治政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u w:val="none"/>
          <w:lang w:eastAsia="zh-CN"/>
        </w:rPr>
      </w:pPr>
      <w:r>
        <w:rPr>
          <w:rFonts w:hint="eastAsia" w:ascii="黑体" w:hAnsi="黑体" w:eastAsia="黑体" w:cs="黑体"/>
          <w:sz w:val="32"/>
          <w:szCs w:val="32"/>
          <w:u w:val="none"/>
          <w:lang w:eastAsia="zh-CN"/>
        </w:rPr>
        <w:t>二、学法方式</w:t>
      </w:r>
    </w:p>
    <w:p>
      <w:pPr>
        <w:spacing w:line="560" w:lineRule="exact"/>
        <w:ind w:firstLine="640" w:firstLineChars="200"/>
        <w:rPr>
          <w:rFonts w:hint="eastAsia" w:ascii="仿宋_GB2312" w:eastAsia="仿宋_GB2312" w:cs="Times New Roman"/>
          <w:sz w:val="32"/>
          <w:szCs w:val="32"/>
          <w:u w:val="none"/>
          <w:lang w:val="en-US" w:eastAsia="zh-CN"/>
        </w:rPr>
      </w:pPr>
      <w:r>
        <w:rPr>
          <w:rFonts w:hint="eastAsia" w:ascii="仿宋_GB2312" w:hAnsi="Times New Roman" w:eastAsia="仿宋_GB2312" w:cs="Times New Roman"/>
          <w:sz w:val="32"/>
          <w:szCs w:val="32"/>
          <w:u w:val="none"/>
          <w:lang w:val="en-US" w:eastAsia="zh-CN"/>
        </w:rPr>
        <w:t>以自学为主，采取个人自学与集体学习、线上学习与线下学习相结合的方式进行。全年计划举办依法行政专题培训班1次，法治专题讲座1次，领导干部集中学法4次。</w:t>
      </w:r>
    </w:p>
    <w:p>
      <w:pPr>
        <w:spacing w:line="560" w:lineRule="exact"/>
        <w:ind w:firstLine="640" w:firstLineChars="200"/>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三、学法内容</w:t>
      </w:r>
    </w:p>
    <w:p>
      <w:pPr>
        <w:spacing w:line="560" w:lineRule="exact"/>
        <w:ind w:firstLine="640" w:firstLineChars="200"/>
        <w:rPr>
          <w:rFonts w:hint="eastAsia" w:ascii="仿宋_GB2312" w:eastAsia="仿宋_GB2312"/>
          <w:sz w:val="32"/>
          <w:szCs w:val="32"/>
          <w:u w:val="none"/>
          <w:lang w:val="en-US" w:eastAsia="zh-CN"/>
        </w:rPr>
      </w:pPr>
      <w:r>
        <w:rPr>
          <w:rFonts w:hint="eastAsia" w:ascii="楷体" w:hAnsi="楷体" w:eastAsia="楷体" w:cs="楷体"/>
          <w:sz w:val="32"/>
          <w:szCs w:val="32"/>
          <w:u w:val="none"/>
        </w:rPr>
        <w:t>（一）</w:t>
      </w:r>
      <w:r>
        <w:rPr>
          <w:rFonts w:hint="eastAsia" w:ascii="楷体" w:hAnsi="楷体" w:eastAsia="楷体" w:cs="楷体"/>
          <w:sz w:val="32"/>
          <w:szCs w:val="32"/>
          <w:u w:val="none"/>
          <w:lang w:eastAsia="zh-CN"/>
        </w:rPr>
        <w:t>领导干部学法</w:t>
      </w:r>
      <w:r>
        <w:rPr>
          <w:rFonts w:hint="eastAsia" w:ascii="楷体" w:hAnsi="楷体" w:eastAsia="楷体" w:cs="楷体"/>
          <w:sz w:val="32"/>
          <w:szCs w:val="32"/>
          <w:u w:val="none"/>
          <w:lang w:val="en-US" w:eastAsia="zh-CN"/>
        </w:rPr>
        <w:t>。</w:t>
      </w:r>
      <w:r>
        <w:rPr>
          <w:rFonts w:hint="eastAsia" w:ascii="仿宋_GB2312" w:hAnsi="Times New Roman" w:eastAsia="仿宋_GB2312" w:cs="Times New Roman"/>
          <w:sz w:val="32"/>
          <w:szCs w:val="32"/>
          <w:u w:val="none"/>
          <w:lang w:val="en-US" w:eastAsia="zh-CN"/>
        </w:rPr>
        <w:t>根据人防工作实际，重点安排4项内容：《河南省重大行政决策程序规定》《信访工作条例》《中华人民共和国地方各级人民代表大会和地方各级人民政府组织法》《中华人民共和国安全生产法》</w:t>
      </w:r>
    </w:p>
    <w:p>
      <w:pPr>
        <w:spacing w:line="560" w:lineRule="exact"/>
        <w:ind w:firstLine="640" w:firstLineChars="200"/>
        <w:rPr>
          <w:rFonts w:hint="eastAsia" w:ascii="仿宋_GB2312" w:hAnsi="Times New Roman" w:eastAsia="仿宋_GB2312" w:cs="Times New Roman"/>
          <w:sz w:val="32"/>
          <w:szCs w:val="32"/>
          <w:u w:val="none"/>
          <w:lang w:val="en-US" w:eastAsia="zh-CN"/>
        </w:rPr>
      </w:pPr>
      <w:r>
        <w:rPr>
          <w:rFonts w:hint="eastAsia" w:ascii="仿宋_GB2312" w:eastAsia="仿宋_GB2312"/>
          <w:sz w:val="32"/>
          <w:szCs w:val="32"/>
          <w:u w:val="none"/>
          <w:lang w:val="en-US" w:eastAsia="zh-CN"/>
        </w:rPr>
        <w:t>组织实施：领导班子学法</w:t>
      </w:r>
      <w:r>
        <w:rPr>
          <w:rFonts w:hint="eastAsia" w:ascii="仿宋_GB2312" w:eastAsia="仿宋_GB2312"/>
          <w:sz w:val="32"/>
          <w:szCs w:val="32"/>
          <w:u w:val="none"/>
          <w:lang w:val="en-US" w:eastAsia="zh-CN"/>
        </w:rPr>
        <w:t>依托中心组学习，每季度安排一次，参加人员</w:t>
      </w:r>
      <w:r>
        <w:rPr>
          <w:rFonts w:hint="eastAsia" w:ascii="仿宋_GB2312" w:eastAsia="仿宋_GB2312"/>
          <w:sz w:val="32"/>
          <w:szCs w:val="32"/>
          <w:u w:val="none"/>
          <w:lang w:eastAsia="zh-CN"/>
        </w:rPr>
        <w:t>为办党组中心</w:t>
      </w:r>
      <w:bookmarkStart w:id="2" w:name="_GoBack"/>
      <w:bookmarkEnd w:id="2"/>
      <w:r>
        <w:rPr>
          <w:rFonts w:hint="eastAsia" w:ascii="仿宋_GB2312" w:eastAsia="仿宋_GB2312"/>
          <w:sz w:val="32"/>
          <w:szCs w:val="32"/>
          <w:u w:val="none"/>
          <w:lang w:eastAsia="zh-CN"/>
        </w:rPr>
        <w:t>组成员、副县级以上领导干部、机关各处</w:t>
      </w:r>
      <w:r>
        <w:rPr>
          <w:rFonts w:hint="eastAsia" w:ascii="仿宋_GB2312" w:eastAsia="仿宋_GB2312"/>
          <w:sz w:val="32"/>
          <w:szCs w:val="32"/>
          <w:u w:val="none"/>
          <w:lang w:val="en-US" w:eastAsia="zh-CN"/>
        </w:rPr>
        <w:t>(</w:t>
      </w:r>
      <w:r>
        <w:rPr>
          <w:rFonts w:hint="eastAsia" w:ascii="仿宋_GB2312" w:eastAsia="仿宋_GB2312"/>
          <w:sz w:val="32"/>
          <w:szCs w:val="32"/>
          <w:u w:val="none"/>
          <w:lang w:eastAsia="zh-CN"/>
        </w:rPr>
        <w:t>室</w:t>
      </w:r>
      <w:r>
        <w:rPr>
          <w:rFonts w:hint="eastAsia" w:ascii="仿宋_GB2312" w:eastAsia="仿宋_GB2312"/>
          <w:sz w:val="32"/>
          <w:szCs w:val="32"/>
          <w:u w:val="none"/>
          <w:lang w:val="en-US" w:eastAsia="zh-CN"/>
        </w:rPr>
        <w:t>)</w:t>
      </w:r>
      <w:r>
        <w:rPr>
          <w:rFonts w:hint="eastAsia" w:ascii="仿宋_GB2312" w:eastAsia="仿宋_GB2312"/>
          <w:sz w:val="32"/>
          <w:szCs w:val="32"/>
          <w:u w:val="none"/>
          <w:lang w:eastAsia="zh-CN"/>
        </w:rPr>
        <w:t>处长、副处</w:t>
      </w:r>
      <w:r>
        <w:rPr>
          <w:rFonts w:hint="eastAsia" w:ascii="仿宋_GB2312" w:eastAsia="仿宋_GB2312"/>
          <w:sz w:val="32"/>
          <w:szCs w:val="32"/>
          <w:u w:val="none"/>
          <w:lang w:val="en-US" w:eastAsia="zh-CN"/>
        </w:rPr>
        <w:t>长及直属单位党政正职。一般干部学法以自学为主，由各处自行组</w:t>
      </w:r>
      <w:r>
        <w:rPr>
          <w:rFonts w:hint="eastAsia" w:ascii="仿宋_GB2312" w:hAnsi="Times New Roman" w:eastAsia="仿宋_GB2312" w:cs="Times New Roman"/>
          <w:sz w:val="32"/>
          <w:szCs w:val="32"/>
          <w:u w:val="none"/>
          <w:lang w:val="en-US" w:eastAsia="zh-CN"/>
        </w:rPr>
        <w:t>织，采取线上学法与线下学法相结合的方式，依托学习强国、河南干部网络学院和河南省行政执法人员公共法律知识考试系统等网络学习平台，全年学法不少于40个学时。通过会议学法与个人学法相结合，一级带动一级，在全办营造浓厚学法氛围。</w:t>
      </w:r>
    </w:p>
    <w:p>
      <w:pPr>
        <w:numPr>
          <w:ilvl w:val="0"/>
          <w:numId w:val="0"/>
        </w:numPr>
        <w:spacing w:line="560" w:lineRule="exact"/>
        <w:ind w:firstLine="640" w:firstLineChars="200"/>
        <w:rPr>
          <w:rFonts w:hint="eastAsia" w:ascii="仿宋_GB2312" w:hAnsi="Times New Roman" w:eastAsia="仿宋_GB2312" w:cs="Times New Roman"/>
          <w:sz w:val="32"/>
          <w:szCs w:val="32"/>
          <w:u w:val="none"/>
          <w:lang w:val="en-US" w:eastAsia="zh-CN"/>
        </w:rPr>
      </w:pPr>
      <w:r>
        <w:rPr>
          <w:rFonts w:hint="eastAsia" w:ascii="楷体" w:hAnsi="楷体" w:eastAsia="楷体" w:cs="楷体"/>
          <w:sz w:val="32"/>
          <w:szCs w:val="32"/>
          <w:u w:val="none"/>
          <w:lang w:eastAsia="zh-CN"/>
        </w:rPr>
        <w:t>（二）依法行政培训班。</w:t>
      </w:r>
      <w:r>
        <w:rPr>
          <w:rFonts w:hint="eastAsia" w:ascii="仿宋_GB2312" w:hAnsi="Times New Roman" w:eastAsia="仿宋_GB2312" w:cs="Times New Roman"/>
          <w:sz w:val="32"/>
          <w:szCs w:val="32"/>
          <w:u w:val="none"/>
          <w:lang w:val="en-US" w:eastAsia="zh-CN"/>
        </w:rPr>
        <w:t>202</w:t>
      </w:r>
      <w:r>
        <w:rPr>
          <w:rFonts w:hint="eastAsia" w:ascii="仿宋_GB2312" w:cs="Times New Roman"/>
          <w:sz w:val="32"/>
          <w:szCs w:val="32"/>
          <w:u w:val="none"/>
          <w:lang w:val="en-US" w:eastAsia="zh-CN"/>
        </w:rPr>
        <w:t>2</w:t>
      </w:r>
      <w:r>
        <w:rPr>
          <w:rFonts w:hint="eastAsia" w:ascii="仿宋_GB2312" w:hAnsi="Times New Roman" w:eastAsia="仿宋_GB2312" w:cs="Times New Roman"/>
          <w:sz w:val="32"/>
          <w:szCs w:val="32"/>
          <w:u w:val="none"/>
          <w:lang w:val="en-US" w:eastAsia="zh-CN"/>
        </w:rPr>
        <w:t>年</w:t>
      </w:r>
      <w:r>
        <w:rPr>
          <w:rFonts w:hint="eastAsia" w:ascii="仿宋_GB2312" w:hAnsi="Times New Roman" w:eastAsia="仿宋_GB2312" w:cs="Times New Roman"/>
          <w:sz w:val="32"/>
          <w:szCs w:val="32"/>
          <w:u w:val="none"/>
          <w:lang w:val="en-US" w:eastAsia="zh-CN"/>
        </w:rPr>
        <w:t>计划举办1次人防系统依法行政专题培训班，重点为专业法律知识和业务技能培训，计划邀请省、市法律专家、学者进行授课辅导，结合培训同步开展行政执法案卷评查、行政执法大比武等活动，参加人员为全市人防系统行政执法工作人员。</w:t>
      </w:r>
    </w:p>
    <w:p>
      <w:pPr>
        <w:numPr>
          <w:ilvl w:val="0"/>
          <w:numId w:val="0"/>
        </w:numPr>
        <w:spacing w:line="560" w:lineRule="exact"/>
        <w:ind w:firstLine="640" w:firstLineChars="200"/>
        <w:rPr>
          <w:rFonts w:hint="eastAsia" w:ascii="仿宋_GB2312" w:hAnsi="Times New Roman" w:eastAsia="仿宋_GB2312" w:cs="Times New Roman"/>
          <w:sz w:val="32"/>
          <w:szCs w:val="32"/>
          <w:u w:val="none"/>
          <w:lang w:val="en-US" w:eastAsia="zh-CN"/>
        </w:rPr>
      </w:pPr>
      <w:r>
        <w:rPr>
          <w:rFonts w:hint="eastAsia" w:ascii="楷体" w:hAnsi="楷体" w:eastAsia="楷体" w:cs="楷体"/>
          <w:sz w:val="32"/>
          <w:szCs w:val="32"/>
          <w:u w:val="none"/>
          <w:lang w:eastAsia="zh-CN"/>
        </w:rPr>
        <w:t>（三）法治专题讲座。</w:t>
      </w:r>
      <w:r>
        <w:rPr>
          <w:rFonts w:hint="eastAsia" w:ascii="仿宋_GB2312" w:hAnsi="Times New Roman" w:eastAsia="仿宋_GB2312" w:cs="Times New Roman"/>
          <w:sz w:val="32"/>
          <w:szCs w:val="32"/>
          <w:u w:val="none"/>
          <w:lang w:val="en-US" w:eastAsia="zh-CN"/>
        </w:rPr>
        <w:t>2022年计划举办1次法治专题讲座，重点讲解新修订的行政处罚法、行政许可法、行政强制法等人防常用法律法规和执法事务，以及法治政府建设相关规范性文件，采取“线上+线下”多种模式组织实施，切实提升行政执法人员业务素质。</w:t>
      </w:r>
    </w:p>
    <w:p>
      <w:pPr>
        <w:numPr>
          <w:ilvl w:val="0"/>
          <w:numId w:val="0"/>
        </w:numPr>
        <w:spacing w:line="560" w:lineRule="exact"/>
        <w:ind w:firstLine="640" w:firstLineChars="200"/>
        <w:rPr>
          <w:rFonts w:hint="eastAsia" w:ascii="仿宋_GB2312" w:hAnsi="Times New Roman" w:eastAsia="仿宋_GB2312" w:cs="Times New Roman"/>
          <w:sz w:val="32"/>
          <w:szCs w:val="32"/>
          <w:u w:val="none"/>
          <w:lang w:val="en-US" w:eastAsia="zh-CN"/>
        </w:rPr>
      </w:pPr>
      <w:r>
        <w:rPr>
          <w:rFonts w:hint="eastAsia" w:ascii="黑体" w:hAnsi="黑体" w:eastAsia="黑体" w:cs="黑体"/>
          <w:sz w:val="32"/>
          <w:szCs w:val="32"/>
          <w:lang w:eastAsia="zh-CN"/>
        </w:rPr>
        <w:t>四</w:t>
      </w:r>
      <w:r>
        <w:rPr>
          <w:rFonts w:hint="eastAsia" w:ascii="黑体" w:hAnsi="黑体" w:eastAsia="黑体" w:cs="黑体"/>
          <w:sz w:val="32"/>
          <w:szCs w:val="32"/>
        </w:rPr>
        <w:t>、措施要求</w:t>
      </w:r>
    </w:p>
    <w:p>
      <w:pPr>
        <w:numPr>
          <w:ilvl w:val="0"/>
          <w:numId w:val="0"/>
        </w:numPr>
        <w:spacing w:line="560" w:lineRule="exact"/>
        <w:ind w:firstLine="640" w:firstLineChars="200"/>
        <w:rPr>
          <w:rFonts w:hint="eastAsia" w:ascii="仿宋_GB2312" w:hAnsi="Times New Roman" w:eastAsia="仿宋_GB2312" w:cs="Times New Roman"/>
          <w:sz w:val="32"/>
          <w:szCs w:val="32"/>
          <w:u w:val="none"/>
          <w:lang w:val="en-US" w:eastAsia="zh-CN"/>
        </w:rPr>
      </w:pPr>
      <w:r>
        <w:rPr>
          <w:rFonts w:hint="eastAsia" w:ascii="楷体" w:hAnsi="楷体" w:eastAsia="楷体" w:cs="楷体"/>
          <w:sz w:val="32"/>
          <w:szCs w:val="32"/>
          <w:u w:val="none"/>
          <w:lang w:val="en-US" w:eastAsia="zh-CN"/>
        </w:rPr>
        <w:t>(一)提高认识。</w:t>
      </w:r>
      <w:r>
        <w:rPr>
          <w:rFonts w:hint="eastAsia" w:ascii="仿宋_GB2312" w:hAnsi="Times New Roman" w:eastAsia="仿宋_GB2312" w:cs="Times New Roman"/>
          <w:sz w:val="32"/>
          <w:szCs w:val="32"/>
          <w:u w:val="none"/>
          <w:lang w:val="en-US" w:eastAsia="zh-CN"/>
        </w:rPr>
        <w:t>落实领导干部学法制度,是深入贯彻习近平法治思想的具体举措,是提高领导干部法治思维和依法行政能力的重要方式，各单位要高度重视,进一步增强使命感、责任感,将学法制度落到实处。</w:t>
      </w:r>
    </w:p>
    <w:p>
      <w:pPr>
        <w:numPr>
          <w:ilvl w:val="0"/>
          <w:numId w:val="0"/>
        </w:numPr>
        <w:spacing w:line="560" w:lineRule="exact"/>
        <w:ind w:firstLine="640" w:firstLineChars="200"/>
        <w:rPr>
          <w:rFonts w:hint="eastAsia" w:ascii="仿宋_GB2312" w:hAnsi="Times New Roman" w:eastAsia="仿宋_GB2312" w:cs="Times New Roman"/>
          <w:sz w:val="32"/>
          <w:szCs w:val="32"/>
          <w:u w:val="none"/>
          <w:lang w:val="en-US" w:eastAsia="zh-CN"/>
        </w:rPr>
      </w:pPr>
      <w:r>
        <w:rPr>
          <w:rFonts w:hint="eastAsia" w:ascii="楷体" w:hAnsi="楷体" w:eastAsia="楷体" w:cs="楷体"/>
          <w:sz w:val="32"/>
          <w:szCs w:val="32"/>
          <w:u w:val="none"/>
          <w:lang w:val="en-US" w:eastAsia="zh-CN"/>
        </w:rPr>
        <w:t>(二)注重实效。</w:t>
      </w:r>
      <w:r>
        <w:rPr>
          <w:rFonts w:hint="eastAsia" w:ascii="仿宋_GB2312" w:hAnsi="Times New Roman" w:eastAsia="仿宋_GB2312" w:cs="Times New Roman"/>
          <w:sz w:val="32"/>
          <w:szCs w:val="32"/>
          <w:u w:val="none"/>
          <w:lang w:val="en-US" w:eastAsia="zh-CN"/>
        </w:rPr>
        <w:t>各单位要认真做好学法活动的组织实施工作</w:t>
      </w:r>
      <w:r>
        <w:rPr>
          <w:rFonts w:hint="eastAsia" w:ascii="仿宋_GB2312" w:hAnsi="Times New Roman" w:eastAsia="仿宋_GB2312" w:cs="Times New Roman"/>
          <w:sz w:val="32"/>
          <w:szCs w:val="32"/>
          <w:u w:val="none"/>
          <w:lang w:val="en-US" w:eastAsia="zh-CN"/>
        </w:rPr>
        <w:t>，确保学法时间、内容、人员、效果 “四落实”。坚持科学谋划、统筹兼顾、灵活机动，科学处理学习与工作的关系，确保“两不误两促进”。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lang w:val="en-US" w:eastAsia="zh-CN"/>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三</w:t>
      </w: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加强考核。</w:t>
      </w:r>
      <w:r>
        <w:rPr>
          <w:rFonts w:hint="eastAsia" w:ascii="仿宋_GB2312" w:hAnsi="Times New Roman" w:eastAsia="仿宋_GB2312" w:cs="Times New Roman"/>
          <w:sz w:val="32"/>
          <w:szCs w:val="32"/>
          <w:u w:val="none"/>
          <w:lang w:val="en-US" w:eastAsia="zh-CN"/>
        </w:rPr>
        <w:t>要强化结果导向，狠抓落实。各单位要加强指导、检查和考评，行</w:t>
      </w:r>
      <w:r>
        <w:rPr>
          <w:rFonts w:hint="eastAsia" w:ascii="仿宋_GB2312" w:eastAsia="仿宋_GB2312"/>
          <w:sz w:val="32"/>
          <w:szCs w:val="32"/>
          <w:highlight w:val="none"/>
        </w:rPr>
        <w:t>政执法人员学法活动情况</w:t>
      </w:r>
      <w:r>
        <w:rPr>
          <w:rFonts w:hint="eastAsia" w:ascii="仿宋_GB2312"/>
          <w:sz w:val="32"/>
          <w:szCs w:val="32"/>
          <w:highlight w:val="none"/>
          <w:lang w:eastAsia="zh-CN"/>
        </w:rPr>
        <w:t>已</w:t>
      </w:r>
      <w:r>
        <w:rPr>
          <w:rFonts w:hint="eastAsia" w:ascii="仿宋_GB2312" w:eastAsia="仿宋_GB2312"/>
          <w:sz w:val="32"/>
          <w:szCs w:val="32"/>
          <w:highlight w:val="none"/>
        </w:rPr>
        <w:t>纳入依法行政考核评</w:t>
      </w:r>
      <w:r>
        <w:rPr>
          <w:rFonts w:hint="eastAsia" w:ascii="仿宋_GB2312"/>
          <w:sz w:val="32"/>
          <w:szCs w:val="32"/>
          <w:highlight w:val="none"/>
          <w:lang w:eastAsia="zh-CN"/>
        </w:rPr>
        <w:t>价</w:t>
      </w:r>
      <w:r>
        <w:rPr>
          <w:rFonts w:hint="eastAsia" w:ascii="仿宋_GB2312" w:eastAsia="仿宋_GB2312"/>
          <w:sz w:val="32"/>
          <w:szCs w:val="32"/>
          <w:highlight w:val="none"/>
        </w:rPr>
        <w:t>体系，年终将参加市政府的依法行政工作责任目标考核。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lang w:val="en-US" w:eastAsia="zh-CN"/>
        </w:rPr>
      </w:pPr>
    </w:p>
    <w:p>
      <w:pPr>
        <w:pStyle w:val="9"/>
        <w:rPr>
          <w:rFonts w:hint="default" w:ascii="Times New Roman" w:hAnsi="Times New Roman" w:cs="Times New Roman"/>
          <w:lang w:val="en-US" w:eastAsia="zh-CN"/>
        </w:rPr>
      </w:pPr>
    </w:p>
    <w:p>
      <w:pPr>
        <w:pStyle w:val="9"/>
        <w:rPr>
          <w:rFonts w:hint="default" w:ascii="Times New Roman" w:hAnsi="Times New Roman" w:eastAsia="仿宋" w:cs="Times New Roman"/>
          <w:sz w:val="32"/>
          <w:szCs w:val="32"/>
          <w:lang w:val="en-US" w:eastAsia="zh-CN"/>
        </w:rPr>
      </w:pPr>
    </w:p>
    <w:p>
      <w:pPr>
        <w:pStyle w:val="9"/>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default" w:ascii="Times New Roman" w:hAnsi="Times New Roman" w:eastAsia="仿宋_GB2312" w:cs="Times New Roman"/>
          <w:color w:val="auto"/>
          <w:sz w:val="32"/>
          <w:szCs w:val="32"/>
          <w:u w:val="none"/>
          <w:lang w:val="en-US" w:eastAsia="zh-CN"/>
        </w:rPr>
      </w:pPr>
    </w:p>
    <w:tbl>
      <w:tblPr>
        <w:tblStyle w:val="10"/>
        <w:tblpPr w:vertAnchor="page" w:horzAnchor="page" w:tblpX="1501" w:tblpY="14647"/>
        <w:tblW w:w="0" w:type="auto"/>
        <w:jc w:val="center"/>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4868"/>
        <w:gridCol w:w="4151"/>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4868" w:type="dxa"/>
            <w:tcBorders>
              <w:top w:val="single" w:color="auto" w:sz="8" w:space="0"/>
              <w:left w:val="nil"/>
              <w:bottom w:val="single" w:color="auto" w:sz="8" w:space="0"/>
              <w:right w:val="nil"/>
            </w:tcBorders>
            <w:noWrap w:val="0"/>
            <w:vAlign w:val="top"/>
          </w:tcPr>
          <w:p>
            <w:pPr>
              <w:keepNext w:val="0"/>
              <w:keepLines w:val="0"/>
              <w:pageBreakBefore w:val="0"/>
              <w:widowControl w:val="0"/>
              <w:tabs>
                <w:tab w:val="left" w:pos="5598"/>
              </w:tabs>
              <w:kinsoku/>
              <w:wordWrap/>
              <w:overflowPunct/>
              <w:topLinePunct w:val="0"/>
              <w:autoSpaceDE/>
              <w:autoSpaceDN/>
              <w:bidi w:val="0"/>
              <w:spacing w:line="0" w:lineRule="atLeast"/>
              <w:ind w:firstLine="98" w:firstLineChars="98"/>
              <w:textAlignment w:val="auto"/>
              <w:rPr>
                <w:rFonts w:hint="default" w:ascii="Times New Roman" w:hAnsi="Times New Roman" w:eastAsia="仿宋_GB2312" w:cs="Times New Roman"/>
                <w:bCs/>
                <w:sz w:val="10"/>
                <w:szCs w:val="10"/>
              </w:rPr>
            </w:pPr>
          </w:p>
          <w:p>
            <w:pPr>
              <w:keepNext w:val="0"/>
              <w:keepLines w:val="0"/>
              <w:pageBreakBefore w:val="0"/>
              <w:widowControl w:val="0"/>
              <w:tabs>
                <w:tab w:val="left" w:pos="5598"/>
              </w:tabs>
              <w:kinsoku/>
              <w:wordWrap/>
              <w:overflowPunct/>
              <w:topLinePunct w:val="0"/>
              <w:autoSpaceDE/>
              <w:autoSpaceDN/>
              <w:bidi w:val="0"/>
              <w:spacing w:line="0" w:lineRule="atLeast"/>
              <w:ind w:firstLine="274" w:firstLineChars="98"/>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郑州市人民防空办公室</w:t>
            </w:r>
          </w:p>
          <w:p>
            <w:pPr>
              <w:keepNext w:val="0"/>
              <w:keepLines w:val="0"/>
              <w:pageBreakBefore w:val="0"/>
              <w:widowControl w:val="0"/>
              <w:tabs>
                <w:tab w:val="left" w:pos="5598"/>
              </w:tabs>
              <w:kinsoku/>
              <w:wordWrap/>
              <w:overflowPunct/>
              <w:topLinePunct w:val="0"/>
              <w:autoSpaceDE/>
              <w:autoSpaceDN/>
              <w:bidi w:val="0"/>
              <w:spacing w:line="0" w:lineRule="atLeast"/>
              <w:ind w:firstLine="98" w:firstLineChars="98"/>
              <w:textAlignment w:val="auto"/>
              <w:rPr>
                <w:rFonts w:hint="default" w:ascii="Times New Roman" w:hAnsi="Times New Roman" w:eastAsia="仿宋_GB2312" w:cs="Times New Roman"/>
                <w:bCs/>
                <w:sz w:val="10"/>
                <w:szCs w:val="10"/>
              </w:rPr>
            </w:pPr>
          </w:p>
        </w:tc>
        <w:tc>
          <w:tcPr>
            <w:tcW w:w="4151" w:type="dxa"/>
            <w:tcBorders>
              <w:top w:val="single" w:color="auto" w:sz="8" w:space="0"/>
              <w:left w:val="nil"/>
              <w:bottom w:val="single" w:color="auto" w:sz="8" w:space="0"/>
            </w:tcBorders>
            <w:noWrap w:val="0"/>
            <w:vAlign w:val="top"/>
          </w:tcPr>
          <w:p>
            <w:pPr>
              <w:keepNext w:val="0"/>
              <w:keepLines w:val="0"/>
              <w:pageBreakBefore w:val="0"/>
              <w:widowControl w:val="0"/>
              <w:tabs>
                <w:tab w:val="left" w:pos="5598"/>
              </w:tabs>
              <w:kinsoku/>
              <w:wordWrap/>
              <w:overflowPunct/>
              <w:topLinePunct w:val="0"/>
              <w:autoSpaceDE/>
              <w:autoSpaceDN/>
              <w:bidi w:val="0"/>
              <w:spacing w:line="0" w:lineRule="atLeast"/>
              <w:ind w:right="298"/>
              <w:jc w:val="right"/>
              <w:textAlignment w:val="auto"/>
              <w:rPr>
                <w:rFonts w:hint="default" w:ascii="Times New Roman" w:hAnsi="Times New Roman" w:eastAsia="仿宋_GB2312" w:cs="Times New Roman"/>
                <w:bCs/>
                <w:sz w:val="10"/>
                <w:szCs w:val="10"/>
              </w:rPr>
            </w:pPr>
            <w:r>
              <w:rPr>
                <w:rFonts w:hint="default" w:ascii="Times New Roman" w:hAnsi="Times New Roman" w:eastAsia="仿宋_GB2312" w:cs="Times New Roman"/>
                <w:bCs/>
                <w:sz w:val="32"/>
                <w:szCs w:val="20"/>
              </w:rPr>
              <w:t xml:space="preserve"> </w:t>
            </w:r>
          </w:p>
          <w:p>
            <w:pPr>
              <w:keepNext w:val="0"/>
              <w:keepLines w:val="0"/>
              <w:pageBreakBefore w:val="0"/>
              <w:widowControl w:val="0"/>
              <w:tabs>
                <w:tab w:val="left" w:pos="5598"/>
              </w:tabs>
              <w:kinsoku/>
              <w:wordWrap/>
              <w:overflowPunct/>
              <w:topLinePunct w:val="0"/>
              <w:autoSpaceDE/>
              <w:autoSpaceDN/>
              <w:bidi w:val="0"/>
              <w:spacing w:line="0" w:lineRule="atLeast"/>
              <w:ind w:right="298"/>
              <w:jc w:val="right"/>
              <w:textAlignment w:val="auto"/>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20</w:t>
            </w:r>
            <w:r>
              <w:rPr>
                <w:rFonts w:hint="default" w:ascii="Times New Roman" w:hAnsi="Times New Roman" w:eastAsia="仿宋_GB2312" w:cs="Times New Roman"/>
                <w:bCs/>
                <w:sz w:val="28"/>
                <w:szCs w:val="28"/>
                <w:lang w:val="en-US" w:eastAsia="zh-CN"/>
              </w:rPr>
              <w:t>22</w:t>
            </w:r>
            <w:r>
              <w:rPr>
                <w:rFonts w:hint="default" w:ascii="Times New Roman" w:hAnsi="Times New Roman" w:eastAsia="仿宋_GB2312" w:cs="Times New Roman"/>
                <w:bCs/>
                <w:sz w:val="28"/>
                <w:szCs w:val="28"/>
              </w:rPr>
              <w:t>年</w:t>
            </w:r>
            <w:r>
              <w:rPr>
                <w:rFonts w:hint="default" w:ascii="Times New Roman" w:hAnsi="Times New Roman" w:eastAsia="仿宋_GB2312" w:cs="Times New Roman"/>
                <w:bCs/>
                <w:sz w:val="28"/>
                <w:szCs w:val="28"/>
                <w:lang w:val="en-US" w:eastAsia="zh-CN"/>
              </w:rPr>
              <w:t>5</w:t>
            </w:r>
            <w:r>
              <w:rPr>
                <w:rFonts w:hint="default" w:ascii="Times New Roman" w:hAnsi="Times New Roman" w:eastAsia="仿宋_GB2312" w:cs="Times New Roman"/>
                <w:bCs/>
                <w:sz w:val="28"/>
                <w:szCs w:val="28"/>
              </w:rPr>
              <w:t>月</w:t>
            </w:r>
            <w:r>
              <w:rPr>
                <w:rFonts w:hint="default" w:ascii="Times New Roman" w:hAnsi="Times New Roman" w:eastAsia="仿宋_GB2312" w:cs="Times New Roman"/>
                <w:bCs/>
                <w:sz w:val="28"/>
                <w:szCs w:val="28"/>
                <w:lang w:val="en-US" w:eastAsia="zh-CN"/>
              </w:rPr>
              <w:t>26</w:t>
            </w:r>
            <w:r>
              <w:rPr>
                <w:rFonts w:hint="default" w:ascii="Times New Roman" w:hAnsi="Times New Roman" w:eastAsia="仿宋_GB2312" w:cs="Times New Roman"/>
                <w:bCs/>
                <w:sz w:val="28"/>
                <w:szCs w:val="28"/>
              </w:rPr>
              <w:t>日印发</w:t>
            </w:r>
          </w:p>
        </w:tc>
      </w:tr>
    </w:tbl>
    <w:p>
      <w:pPr>
        <w:pStyle w:val="9"/>
        <w:ind w:left="0" w:leftChars="0" w:firstLine="0" w:firstLineChars="0"/>
        <w:rPr>
          <w:rFonts w:hint="default" w:ascii="Times New Roman" w:hAnsi="Times New Roman" w:eastAsia="仿宋_GB2312" w:cs="Times New Roman"/>
          <w:sz w:val="32"/>
          <w:szCs w:val="40"/>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公文小标宋简">
    <w:altName w:val="宋体"/>
    <w:panose1 w:val="02010609010101010101"/>
    <w:charset w:val="86"/>
    <w:family w:val="moder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eastAsiaTheme="minorEastAsia"/>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imes New Roman" w:hAnsi="Times New Roman" w:cs="Times New Roman" w:eastAsiaTheme="minorEastAsia"/>
                              <w:sz w:val="28"/>
                              <w:szCs w:val="44"/>
                              <w:lang w:val="en-US" w:eastAsia="zh-CN"/>
                            </w:rPr>
                          </w:pPr>
                          <w:r>
                            <w:rPr>
                              <w:rFonts w:hint="eastAsia" w:ascii="Times New Roman" w:hAnsi="Times New Roman" w:cs="Times New Roman"/>
                              <w:sz w:val="28"/>
                              <w:szCs w:val="44"/>
                              <w:lang w:eastAsia="zh-CN"/>
                            </w:rPr>
                            <w:t>—</w:t>
                          </w:r>
                          <w:r>
                            <w:rPr>
                              <w:rFonts w:hint="eastAsia" w:ascii="Times New Roman" w:hAnsi="Times New Roman" w:cs="Times New Roman"/>
                              <w:sz w:val="28"/>
                              <w:szCs w:val="44"/>
                              <w:lang w:val="en-US" w:eastAsia="zh-CN"/>
                            </w:rPr>
                            <w:t xml:space="preserve"> </w:t>
                          </w: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r>
                            <w:rPr>
                              <w:rFonts w:hint="eastAsia" w:ascii="Times New Roman" w:hAnsi="Times New Roman" w:cs="Times New Roman"/>
                              <w:sz w:val="28"/>
                              <w:szCs w:val="44"/>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imes New Roman" w:hAnsi="Times New Roman" w:cs="Times New Roman" w:eastAsiaTheme="minorEastAsia"/>
                        <w:sz w:val="28"/>
                        <w:szCs w:val="44"/>
                        <w:lang w:val="en-US" w:eastAsia="zh-CN"/>
                      </w:rPr>
                    </w:pPr>
                    <w:r>
                      <w:rPr>
                        <w:rFonts w:hint="eastAsia" w:ascii="Times New Roman" w:hAnsi="Times New Roman" w:cs="Times New Roman"/>
                        <w:sz w:val="28"/>
                        <w:szCs w:val="44"/>
                        <w:lang w:eastAsia="zh-CN"/>
                      </w:rPr>
                      <w:t>—</w:t>
                    </w:r>
                    <w:r>
                      <w:rPr>
                        <w:rFonts w:hint="eastAsia" w:ascii="Times New Roman" w:hAnsi="Times New Roman" w:cs="Times New Roman"/>
                        <w:sz w:val="28"/>
                        <w:szCs w:val="44"/>
                        <w:lang w:val="en-US" w:eastAsia="zh-CN"/>
                      </w:rPr>
                      <w:t xml:space="preserve"> </w:t>
                    </w: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r>
                      <w:rPr>
                        <w:rFonts w:hint="eastAsia" w:ascii="Times New Roman" w:hAnsi="Times New Roman" w:cs="Times New Roman"/>
                        <w:sz w:val="28"/>
                        <w:szCs w:val="44"/>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4NDc4NmI2OTNlN2VjZTU4NzZkMDA5MDFlMTM5Y2EifQ=="/>
  </w:docVars>
  <w:rsids>
    <w:rsidRoot w:val="00000000"/>
    <w:rsid w:val="08370860"/>
    <w:rsid w:val="0B03651E"/>
    <w:rsid w:val="0C2C641C"/>
    <w:rsid w:val="0CDD42F0"/>
    <w:rsid w:val="13D77794"/>
    <w:rsid w:val="17AF119E"/>
    <w:rsid w:val="1D2D4001"/>
    <w:rsid w:val="219E4D4F"/>
    <w:rsid w:val="22A5210D"/>
    <w:rsid w:val="29523D55"/>
    <w:rsid w:val="2C52405B"/>
    <w:rsid w:val="2CE07F7C"/>
    <w:rsid w:val="31F82328"/>
    <w:rsid w:val="33BA5576"/>
    <w:rsid w:val="3A1E37C7"/>
    <w:rsid w:val="3C4F180C"/>
    <w:rsid w:val="3CBC4D26"/>
    <w:rsid w:val="4ADD5EAE"/>
    <w:rsid w:val="4B045F12"/>
    <w:rsid w:val="51C72DC8"/>
    <w:rsid w:val="55244E6B"/>
    <w:rsid w:val="5B617B38"/>
    <w:rsid w:val="5BF26DC8"/>
    <w:rsid w:val="633056C3"/>
    <w:rsid w:val="66BB5EDF"/>
    <w:rsid w:val="66F2501B"/>
    <w:rsid w:val="69BF50D3"/>
    <w:rsid w:val="6A9C6F1F"/>
    <w:rsid w:val="77291B3A"/>
    <w:rsid w:val="7C8B294F"/>
    <w:rsid w:val="7EEB5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next w:val="1"/>
    <w:qFormat/>
    <w:uiPriority w:val="0"/>
    <w:pPr>
      <w:keepNext/>
      <w:keepLines/>
      <w:widowControl w:val="0"/>
      <w:adjustRightInd w:val="0"/>
      <w:jc w:val="distribute"/>
      <w:outlineLvl w:val="0"/>
    </w:pPr>
    <w:rPr>
      <w:rFonts w:ascii="Calibri" w:hAnsi="Calibri" w:eastAsia="公文小标宋简" w:cs="Times New Roman"/>
      <w:b/>
      <w:color w:val="FF0000"/>
      <w:kern w:val="44"/>
      <w:sz w:val="72"/>
      <w:lang w:val="en-US" w:eastAsia="zh-CN" w:bidi="ar-SA"/>
    </w:rPr>
  </w:style>
  <w:style w:type="paragraph" w:styleId="4">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630"/>
    </w:pPr>
    <w:rPr>
      <w:kern w:val="0"/>
    </w:rPr>
  </w:style>
  <w:style w:type="paragraph" w:styleId="5">
    <w:name w:val="Body Text"/>
    <w:basedOn w:val="1"/>
    <w:next w:val="1"/>
    <w:qFormat/>
    <w:uiPriority w:val="0"/>
    <w:pPr>
      <w:widowControl/>
      <w:adjustRightInd w:val="0"/>
      <w:snapToGrid w:val="0"/>
      <w:spacing w:line="360" w:lineRule="auto"/>
      <w:jc w:val="both"/>
    </w:pPr>
    <w:rPr>
      <w:rFonts w:ascii="仿宋_GB2312" w:hAnsi="宋体" w:eastAsia="仿宋_GB2312" w:cs="Times New Roman"/>
      <w:kern w:val="0"/>
      <w:sz w:val="28"/>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Body Text First Indent"/>
    <w:basedOn w:val="5"/>
    <w:qFormat/>
    <w:uiPriority w:val="0"/>
    <w:pPr>
      <w:widowControl w:val="0"/>
      <w:adjustRightInd w:val="0"/>
      <w:snapToGrid w:val="0"/>
      <w:spacing w:before="0" w:after="120" w:line="360" w:lineRule="auto"/>
      <w:ind w:left="0" w:right="0" w:firstLine="420" w:firstLineChars="100"/>
      <w:jc w:val="both"/>
    </w:pPr>
    <w:rPr>
      <w:rFonts w:ascii="Calibri" w:hAnsi="Calibri" w:eastAsia="宋体" w:cs="Times New Roman"/>
      <w:kern w:val="2"/>
      <w:sz w:val="21"/>
      <w:szCs w:val="24"/>
      <w:lang w:val="en-US" w:eastAsia="zh-CN" w:bidi="ar-SA"/>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秘密紧急"/>
    <w:qFormat/>
    <w:uiPriority w:val="0"/>
    <w:pPr>
      <w:widowControl w:val="0"/>
      <w:jc w:val="right"/>
    </w:pPr>
    <w:rPr>
      <w:rFonts w:ascii="黑体" w:hAnsi="Calibri" w:eastAsia="黑体" w:cs="Times New Roman"/>
      <w:kern w:val="2"/>
      <w:sz w:val="32"/>
      <w:lang w:val="en-US" w:eastAsia="zh-CN" w:bidi="ar-SA"/>
    </w:rPr>
  </w:style>
  <w:style w:type="paragraph" w:customStyle="1" w:styleId="14">
    <w:name w:val="主题词"/>
    <w:qFormat/>
    <w:uiPriority w:val="0"/>
    <w:pPr>
      <w:widowControl w:val="0"/>
      <w:ind w:left="1246" w:hanging="1246"/>
      <w:jc w:val="both"/>
    </w:pPr>
    <w:rPr>
      <w:rFonts w:ascii="Calibri" w:hAnsi="Calibri" w:eastAsia="公文小标宋简" w:cs="Times New Roman"/>
      <w:kern w:val="2"/>
      <w:sz w:val="32"/>
      <w:lang w:val="en-US" w:eastAsia="zh-CN" w:bidi="ar-SA"/>
    </w:rPr>
  </w:style>
  <w:style w:type="character" w:customStyle="1" w:styleId="15">
    <w:name w:val="font51"/>
    <w:basedOn w:val="12"/>
    <w:qFormat/>
    <w:uiPriority w:val="0"/>
    <w:rPr>
      <w:rFonts w:hint="eastAsia" w:ascii="仿宋" w:hAnsi="仿宋" w:eastAsia="仿宋" w:cs="仿宋"/>
      <w:color w:val="000000"/>
      <w:sz w:val="18"/>
      <w:szCs w:val="18"/>
      <w:u w:val="none"/>
    </w:rPr>
  </w:style>
  <w:style w:type="paragraph" w:customStyle="1" w:styleId="16">
    <w:name w:val="大标题-公文"/>
    <w:basedOn w:val="1"/>
    <w:qFormat/>
    <w:uiPriority w:val="0"/>
    <w:pPr>
      <w:spacing w:line="560" w:lineRule="exact"/>
      <w:jc w:val="center"/>
    </w:pPr>
    <w:rPr>
      <w:rFonts w:eastAsia="方正小标宋简体"/>
      <w:sz w:val="44"/>
    </w:rPr>
  </w:style>
  <w:style w:type="paragraph" w:customStyle="1" w:styleId="17">
    <w:name w:val="一级标题-公文"/>
    <w:basedOn w:val="1"/>
    <w:qFormat/>
    <w:uiPriority w:val="0"/>
    <w:pPr>
      <w:spacing w:line="560" w:lineRule="exact"/>
      <w:ind w:firstLine="420" w:firstLineChars="200"/>
    </w:pPr>
    <w:rPr>
      <w:rFonts w:eastAsia="黑体"/>
      <w:sz w:val="32"/>
    </w:rPr>
  </w:style>
  <w:style w:type="paragraph" w:customStyle="1" w:styleId="18">
    <w:name w:val="正文-公文"/>
    <w:basedOn w:val="1"/>
    <w:qFormat/>
    <w:uiPriority w:val="0"/>
    <w:pPr>
      <w:spacing w:line="560" w:lineRule="exact"/>
      <w:ind w:firstLine="420" w:firstLineChars="200"/>
    </w:pPr>
    <w:rPr>
      <w:rFonts w:ascii="Times New Roman" w:hAnsi="Times New Roman" w:eastAsia="仿宋_GB2312"/>
      <w:sz w:val="32"/>
    </w:rPr>
  </w:style>
  <w:style w:type="paragraph" w:customStyle="1" w:styleId="19">
    <w:name w:val="二级标题-公文"/>
    <w:basedOn w:val="1"/>
    <w:qFormat/>
    <w:uiPriority w:val="0"/>
    <w:pPr>
      <w:spacing w:line="560" w:lineRule="exact"/>
      <w:ind w:firstLine="420" w:firstLineChars="200"/>
    </w:pPr>
    <w:rPr>
      <w:rFonts w:eastAsia="楷体"/>
      <w:sz w:val="32"/>
    </w:rPr>
  </w:style>
  <w:style w:type="paragraph" w:customStyle="1" w:styleId="20">
    <w:name w:val="样式2"/>
    <w:basedOn w:val="1"/>
    <w:qFormat/>
    <w:uiPriority w:val="0"/>
    <w:pPr>
      <w:spacing w:line="240" w:lineRule="auto"/>
      <w:ind w:firstLine="0" w:firstLineChars="0"/>
    </w:pPr>
    <w:rPr>
      <w:rFonts w:ascii="Times New Roman" w:hAnsi="Times New Roman" w:eastAsia="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1352</Words>
  <Characters>1386</Characters>
  <Lines>0</Lines>
  <Paragraphs>0</Paragraphs>
  <TotalTime>27</TotalTime>
  <ScaleCrop>false</ScaleCrop>
  <LinksUpToDate>false</LinksUpToDate>
  <CharactersWithSpaces>1441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2021-07-26T09:39:00Z</dcterms:created>
  <dc:creator>Administrator</dc:creator>
  <cp:lastModifiedBy>Administrator</cp:lastModifiedBy>
  <cp:lastPrinted>2022-05-27T08:59:45Z</cp:lastPrinted>
  <dcterms:modified xsi:type="dcterms:W3CDTF">2022-05-27T09:24:22Z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BAB807BA499147EA87F2A2E1FBEA1CF1</vt:lpwstr>
  </property>
</Properties>
</file>