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auto"/>
        <w:wordWrap/>
        <w:adjustRightInd w:val="0"/>
        <w:snapToGrid w:val="0"/>
        <w:spacing w:before="0" w:after="0" w:line="5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郑州市财政局</w:t>
      </w:r>
      <w:r>
        <w:rPr>
          <w:rFonts w:hint="eastAsia" w:ascii="方正小标宋简体" w:hAnsi="方正小标宋简体" w:eastAsia="方正小标宋简体" w:cs="方正小标宋简体"/>
          <w:sz w:val="44"/>
          <w:szCs w:val="44"/>
          <w:lang w:val="en-US" w:eastAsia="zh-CN"/>
        </w:rPr>
        <w:t xml:space="preserve"> 郑州市教育局</w:t>
      </w:r>
    </w:p>
    <w:p>
      <w:pPr>
        <w:widowControl w:val="0"/>
        <w:shd w:val="clear" w:color="auto" w:fill="auto"/>
        <w:wordWrap/>
        <w:adjustRightInd w:val="0"/>
        <w:snapToGrid w:val="0"/>
        <w:spacing w:before="0" w:after="0" w:line="5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lang w:val="en-US" w:eastAsia="zh-CN"/>
        </w:rPr>
        <w:t>郑州市学前教育发展专项资金</w:t>
      </w:r>
    </w:p>
    <w:p>
      <w:pPr>
        <w:widowControl w:val="0"/>
        <w:shd w:val="clear" w:color="auto" w:fill="auto"/>
        <w:wordWrap/>
        <w:adjustRightInd w:val="0"/>
        <w:snapToGrid w:val="0"/>
        <w:spacing w:before="0" w:after="0" w:line="560" w:lineRule="exact"/>
        <w:ind w:right="0"/>
        <w:jc w:val="center"/>
        <w:textAlignment w:val="auto"/>
        <w:outlineLvl w:val="9"/>
        <w:rPr>
          <w:rFonts w:hint="default"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管理办法</w:t>
      </w:r>
      <w:r>
        <w:rPr>
          <w:rFonts w:hint="default" w:ascii="方正小标宋简体" w:hAnsi="方正小标宋简体" w:eastAsia="方正小标宋简体" w:cs="方正小标宋简体"/>
          <w:sz w:val="44"/>
          <w:szCs w:val="44"/>
          <w:lang w:eastAsia="zh-CN"/>
        </w:rPr>
        <w:t>》的通知</w:t>
      </w:r>
    </w:p>
    <w:p>
      <w:pPr>
        <w:widowControl w:val="0"/>
        <w:shd w:val="clear" w:color="auto" w:fill="auto"/>
        <w:wordWrap/>
        <w:adjustRightInd w:val="0"/>
        <w:snapToGrid w:val="0"/>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各开发区、区县（市）财政局、教育局：</w:t>
      </w:r>
    </w:p>
    <w:p>
      <w:pPr>
        <w:pStyle w:val="2"/>
        <w:ind w:left="0" w:leftChars="0" w:firstLine="640" w:firstLineChars="20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现将《郑州市学前教育发展专项资金管理办法》印发给你们，请认真遵照执行。</w:t>
      </w:r>
    </w:p>
    <w:p>
      <w:pPr>
        <w:pStyle w:val="2"/>
        <w:ind w:left="0" w:leftChars="0" w:firstLine="640" w:firstLineChars="200"/>
        <w:rPr>
          <w:rFonts w:hint="eastAsia" w:ascii="仿宋_GB2312" w:hAnsi="仿宋_GB2312" w:eastAsia="仿宋_GB2312" w:cs="仿宋_GB2312"/>
          <w:bCs w:val="0"/>
          <w:kern w:val="2"/>
          <w:sz w:val="32"/>
          <w:szCs w:val="32"/>
          <w:lang w:val="en-US" w:eastAsia="zh-CN" w:bidi="ar-SA"/>
        </w:rPr>
      </w:pPr>
    </w:p>
    <w:p>
      <w:pPr>
        <w:pStyle w:val="2"/>
        <w:ind w:left="0" w:leftChars="0" w:firstLine="640" w:firstLineChars="200"/>
        <w:rPr>
          <w:rFonts w:hint="default"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附件：郑州市学前教育发展专项资金管理办法</w:t>
      </w:r>
    </w:p>
    <w:p>
      <w:pPr>
        <w:pStyle w:val="2"/>
        <w:rPr>
          <w:rFonts w:hint="eastAsia" w:ascii="仿宋_GB2312" w:hAnsi="仿宋_GB2312" w:eastAsia="仿宋_GB2312" w:cs="仿宋_GB2312"/>
          <w:bCs w:val="0"/>
          <w:kern w:val="2"/>
          <w:sz w:val="32"/>
          <w:szCs w:val="32"/>
          <w:lang w:val="en-US" w:eastAsia="zh-CN" w:bidi="ar-SA"/>
        </w:rPr>
      </w:pPr>
    </w:p>
    <w:p>
      <w:pPr>
        <w:pStyle w:val="2"/>
        <w:ind w:firstLine="960" w:firstLineChars="30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郑州市财政局                郑州市教育局</w:t>
      </w:r>
    </w:p>
    <w:p>
      <w:pPr>
        <w:pStyle w:val="2"/>
        <w:wordWrap w:val="0"/>
        <w:jc w:val="right"/>
        <w:rPr>
          <w:rFonts w:hint="default"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202</w:t>
      </w:r>
      <w:r>
        <w:rPr>
          <w:rFonts w:hint="default" w:ascii="仿宋_GB2312" w:hAnsi="仿宋_GB2312" w:eastAsia="仿宋_GB2312" w:cs="仿宋_GB2312"/>
          <w:bCs w:val="0"/>
          <w:kern w:val="2"/>
          <w:sz w:val="32"/>
          <w:szCs w:val="32"/>
          <w:lang w:val="en-US" w:eastAsia="zh-CN" w:bidi="ar-SA"/>
        </w:rPr>
        <w:t>2</w:t>
      </w:r>
      <w:r>
        <w:rPr>
          <w:rFonts w:hint="eastAsia" w:ascii="仿宋_GB2312" w:hAnsi="仿宋_GB2312" w:eastAsia="仿宋_GB2312" w:cs="仿宋_GB2312"/>
          <w:bCs w:val="0"/>
          <w:kern w:val="2"/>
          <w:sz w:val="32"/>
          <w:szCs w:val="32"/>
          <w:lang w:val="en-US" w:eastAsia="zh-CN" w:bidi="ar-SA"/>
        </w:rPr>
        <w:t>年</w:t>
      </w:r>
      <w:r>
        <w:rPr>
          <w:rFonts w:hint="default" w:ascii="仿宋_GB2312" w:hAnsi="仿宋_GB2312" w:eastAsia="仿宋_GB2312" w:cs="仿宋_GB2312"/>
          <w:bCs w:val="0"/>
          <w:kern w:val="2"/>
          <w:sz w:val="32"/>
          <w:szCs w:val="32"/>
          <w:lang w:val="en-US" w:eastAsia="zh-CN" w:bidi="ar-SA"/>
        </w:rPr>
        <w:t>3</w:t>
      </w:r>
      <w:r>
        <w:rPr>
          <w:rFonts w:hint="eastAsia" w:ascii="仿宋_GB2312" w:hAnsi="仿宋_GB2312" w:eastAsia="仿宋_GB2312" w:cs="仿宋_GB2312"/>
          <w:bCs w:val="0"/>
          <w:kern w:val="2"/>
          <w:sz w:val="32"/>
          <w:szCs w:val="32"/>
          <w:lang w:val="en-US" w:eastAsia="zh-CN" w:bidi="ar-SA"/>
        </w:rPr>
        <w:t>月2</w:t>
      </w:r>
      <w:r>
        <w:rPr>
          <w:rFonts w:hint="default" w:ascii="仿宋_GB2312" w:hAnsi="仿宋_GB2312" w:eastAsia="仿宋_GB2312" w:cs="仿宋_GB2312"/>
          <w:bCs w:val="0"/>
          <w:kern w:val="2"/>
          <w:sz w:val="32"/>
          <w:szCs w:val="32"/>
          <w:lang w:val="en-US" w:eastAsia="zh-CN" w:bidi="ar-SA"/>
        </w:rPr>
        <w:t>3</w:t>
      </w:r>
      <w:r>
        <w:rPr>
          <w:rFonts w:hint="eastAsia" w:ascii="仿宋_GB2312" w:hAnsi="仿宋_GB2312" w:eastAsia="仿宋_GB2312" w:cs="仿宋_GB2312"/>
          <w:bCs w:val="0"/>
          <w:kern w:val="2"/>
          <w:sz w:val="32"/>
          <w:szCs w:val="32"/>
          <w:lang w:val="en-US" w:eastAsia="zh-CN" w:bidi="ar-SA"/>
        </w:rPr>
        <w:t xml:space="preserve">日    </w:t>
      </w:r>
    </w:p>
    <w:p>
      <w:pPr>
        <w:pStyle w:val="2"/>
        <w:rPr>
          <w:rFonts w:hint="eastAsia" w:ascii="仿宋_GB2312" w:hAnsi="仿宋_GB2312" w:eastAsia="仿宋_GB2312" w:cs="仿宋_GB2312"/>
          <w:bCs w:val="0"/>
          <w:kern w:val="2"/>
          <w:sz w:val="32"/>
          <w:szCs w:val="32"/>
          <w:lang w:val="en-US" w:eastAsia="zh-CN" w:bidi="ar-SA"/>
        </w:rPr>
      </w:pPr>
    </w:p>
    <w:p>
      <w:pPr>
        <w:pStyle w:val="2"/>
        <w:rPr>
          <w:rFonts w:hint="eastAsia" w:ascii="仿宋_GB2312" w:hAnsi="仿宋_GB2312" w:eastAsia="仿宋_GB2312" w:cs="仿宋_GB2312"/>
          <w:bCs w:val="0"/>
          <w:kern w:val="2"/>
          <w:sz w:val="32"/>
          <w:szCs w:val="32"/>
          <w:lang w:val="en-US" w:eastAsia="zh-CN" w:bidi="ar-SA"/>
        </w:rPr>
      </w:pPr>
    </w:p>
    <w:p>
      <w:pPr>
        <w:pStyle w:val="2"/>
        <w:rPr>
          <w:rFonts w:hint="eastAsia" w:ascii="仿宋_GB2312" w:hAnsi="仿宋_GB2312" w:eastAsia="仿宋_GB2312" w:cs="仿宋_GB2312"/>
          <w:bCs w:val="0"/>
          <w:kern w:val="2"/>
          <w:sz w:val="32"/>
          <w:szCs w:val="32"/>
          <w:lang w:val="en-US" w:eastAsia="zh-CN" w:bidi="ar-SA"/>
        </w:rPr>
      </w:pPr>
    </w:p>
    <w:p>
      <w:pPr>
        <w:pStyle w:val="2"/>
        <w:rPr>
          <w:rFonts w:hint="eastAsia" w:ascii="仿宋_GB2312" w:hAnsi="仿宋_GB2312" w:eastAsia="仿宋_GB2312" w:cs="仿宋_GB2312"/>
          <w:bCs w:val="0"/>
          <w:kern w:val="2"/>
          <w:sz w:val="32"/>
          <w:szCs w:val="32"/>
          <w:lang w:val="en-US" w:eastAsia="zh-CN" w:bidi="ar-SA"/>
        </w:rPr>
      </w:pPr>
    </w:p>
    <w:p>
      <w:pPr>
        <w:pStyle w:val="2"/>
        <w:rPr>
          <w:rFonts w:hint="eastAsia" w:ascii="仿宋_GB2312" w:hAnsi="仿宋_GB2312" w:eastAsia="仿宋_GB2312" w:cs="仿宋_GB2312"/>
          <w:bCs w:val="0"/>
          <w:kern w:val="2"/>
          <w:sz w:val="32"/>
          <w:szCs w:val="32"/>
          <w:lang w:val="en-US" w:eastAsia="zh-CN" w:bidi="ar-SA"/>
        </w:rPr>
      </w:pPr>
    </w:p>
    <w:p>
      <w:pPr>
        <w:pStyle w:val="2"/>
        <w:rPr>
          <w:rFonts w:hint="eastAsia" w:ascii="仿宋_GB2312" w:hAnsi="仿宋_GB2312" w:eastAsia="仿宋_GB2312" w:cs="仿宋_GB2312"/>
          <w:bCs w:val="0"/>
          <w:kern w:val="2"/>
          <w:sz w:val="32"/>
          <w:szCs w:val="32"/>
          <w:lang w:val="en-US" w:eastAsia="zh-CN" w:bidi="ar-SA"/>
        </w:rPr>
      </w:pPr>
    </w:p>
    <w:p>
      <w:pPr>
        <w:pStyle w:val="2"/>
        <w:rPr>
          <w:rFonts w:hint="eastAsia" w:ascii="仿宋_GB2312" w:hAnsi="仿宋_GB2312" w:eastAsia="仿宋_GB2312" w:cs="仿宋_GB2312"/>
          <w:bCs w:val="0"/>
          <w:kern w:val="2"/>
          <w:sz w:val="32"/>
          <w:szCs w:val="32"/>
          <w:lang w:val="en-US" w:eastAsia="zh-CN" w:bidi="ar-SA"/>
        </w:rPr>
      </w:pPr>
    </w:p>
    <w:p>
      <w:pPr>
        <w:pStyle w:val="2"/>
        <w:rPr>
          <w:rFonts w:hint="eastAsia" w:ascii="仿宋_GB2312" w:hAnsi="仿宋_GB2312" w:eastAsia="仿宋_GB2312" w:cs="仿宋_GB2312"/>
          <w:bCs w:val="0"/>
          <w:kern w:val="2"/>
          <w:sz w:val="32"/>
          <w:szCs w:val="32"/>
          <w:lang w:val="en-US" w:eastAsia="zh-CN" w:bidi="ar-SA"/>
        </w:rPr>
      </w:pPr>
    </w:p>
    <w:p>
      <w:pPr>
        <w:pStyle w:val="2"/>
        <w:rPr>
          <w:rFonts w:hint="eastAsia" w:ascii="仿宋_GB2312" w:hAnsi="仿宋_GB2312" w:eastAsia="仿宋_GB2312" w:cs="仿宋_GB2312"/>
          <w:bCs w:val="0"/>
          <w:kern w:val="2"/>
          <w:sz w:val="32"/>
          <w:szCs w:val="32"/>
          <w:lang w:val="en-US" w:eastAsia="zh-CN" w:bidi="ar-SA"/>
        </w:rPr>
      </w:pPr>
    </w:p>
    <w:p>
      <w:pPr>
        <w:pStyle w:val="2"/>
        <w:rPr>
          <w:rFonts w:hint="eastAsia" w:ascii="仿宋_GB2312" w:hAnsi="仿宋_GB2312" w:eastAsia="仿宋_GB2312" w:cs="仿宋_GB2312"/>
          <w:bCs w:val="0"/>
          <w:kern w:val="2"/>
          <w:sz w:val="32"/>
          <w:szCs w:val="32"/>
          <w:lang w:val="en-US" w:eastAsia="zh-CN" w:bidi="ar-SA"/>
        </w:rPr>
      </w:pPr>
    </w:p>
    <w:p>
      <w:pPr>
        <w:pStyle w:val="2"/>
        <w:ind w:left="0" w:leftChars="0" w:firstLine="0" w:firstLineChars="0"/>
        <w:jc w:val="both"/>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 xml:space="preserve">附  </w:t>
      </w:r>
      <w:bookmarkStart w:id="0" w:name="_GoBack"/>
      <w:bookmarkEnd w:id="0"/>
      <w:r>
        <w:rPr>
          <w:rFonts w:hint="eastAsia" w:ascii="黑体" w:hAnsi="黑体" w:eastAsia="黑体" w:cs="黑体"/>
          <w:bCs w:val="0"/>
          <w:kern w:val="2"/>
          <w:sz w:val="32"/>
          <w:szCs w:val="32"/>
          <w:lang w:val="en-US" w:eastAsia="zh-CN" w:bidi="ar-SA"/>
        </w:rPr>
        <w:t>件</w:t>
      </w:r>
    </w:p>
    <w:p>
      <w:pPr>
        <w:pStyle w:val="2"/>
        <w:rPr>
          <w:rFonts w:hint="eastAsia" w:ascii="仿宋_GB2312" w:hAnsi="仿宋_GB2312" w:eastAsia="仿宋_GB2312" w:cs="仿宋_GB2312"/>
          <w:bCs w:val="0"/>
          <w:kern w:val="2"/>
          <w:sz w:val="32"/>
          <w:szCs w:val="32"/>
          <w:lang w:val="en-US" w:eastAsia="zh-CN" w:bidi="ar-SA"/>
        </w:rPr>
      </w:pPr>
    </w:p>
    <w:p>
      <w:pPr>
        <w:pStyle w:val="2"/>
        <w:keepNext w:val="0"/>
        <w:keepLines w:val="0"/>
        <w:pageBreakBefore w:val="0"/>
        <w:kinsoku/>
        <w:wordWrap/>
        <w:overflowPunct/>
        <w:topLinePunct w:val="0"/>
        <w:autoSpaceDE/>
        <w:autoSpaceDN/>
        <w:bidi w:val="0"/>
        <w:spacing w:line="570" w:lineRule="exact"/>
        <w:ind w:left="0" w:leftChars="0" w:firstLine="0" w:firstLineChars="0"/>
        <w:textAlignment w:val="auto"/>
        <w:rPr>
          <w:rFonts w:hint="eastAsia" w:ascii="仿宋_GB2312" w:hAnsi="仿宋_GB2312" w:eastAsia="仿宋_GB2312" w:cs="仿宋_GB2312"/>
          <w:bCs w:val="0"/>
          <w:kern w:val="2"/>
          <w:sz w:val="32"/>
          <w:szCs w:val="32"/>
          <w:lang w:val="en-US" w:eastAsia="zh-CN" w:bidi="ar-SA"/>
        </w:rPr>
      </w:pPr>
      <w:r>
        <w:rPr>
          <w:rFonts w:hint="default"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郑州市学前教育发展专项资金管理办法</w:t>
      </w:r>
      <w:r>
        <w:rPr>
          <w:rFonts w:hint="default" w:ascii="方正小标宋简体" w:hAnsi="方正小标宋简体" w:eastAsia="方正小标宋简体" w:cs="方正小标宋简体"/>
          <w:sz w:val="44"/>
          <w:szCs w:val="44"/>
          <w:lang w:eastAsia="zh-CN"/>
        </w:rPr>
        <w:t>》</w:t>
      </w:r>
    </w:p>
    <w:p>
      <w:pPr>
        <w:pStyle w:val="2"/>
        <w:keepNext w:val="0"/>
        <w:keepLines w:val="0"/>
        <w:pageBreakBefore w:val="0"/>
        <w:kinsoku/>
        <w:wordWrap/>
        <w:overflowPunct/>
        <w:topLinePunct w:val="0"/>
        <w:autoSpaceDE/>
        <w:autoSpaceDN/>
        <w:bidi w:val="0"/>
        <w:spacing w:line="570" w:lineRule="exact"/>
        <w:textAlignment w:val="auto"/>
        <w:rPr>
          <w:rFonts w:hint="eastAsia" w:ascii="仿宋_GB2312" w:hAnsi="仿宋_GB2312" w:eastAsia="仿宋_GB2312" w:cs="仿宋_GB2312"/>
          <w:bCs w:val="0"/>
          <w:kern w:val="2"/>
          <w:sz w:val="32"/>
          <w:szCs w:val="32"/>
          <w:lang w:val="en-US" w:eastAsia="zh-CN" w:bidi="ar-SA"/>
        </w:rPr>
      </w:pPr>
    </w:p>
    <w:p>
      <w:pPr>
        <w:keepNext w:val="0"/>
        <w:keepLines w:val="0"/>
        <w:pageBreakBefore w:val="0"/>
        <w:widowControl w:val="0"/>
        <w:numPr>
          <w:ilvl w:val="0"/>
          <w:numId w:val="1"/>
        </w:numPr>
        <w:shd w:val="clear" w:color="auto" w:fill="auto"/>
        <w:kinsoku/>
        <w:wordWrap/>
        <w:overflowPunct/>
        <w:topLinePunct w:val="0"/>
        <w:autoSpaceDE/>
        <w:autoSpaceDN/>
        <w:bidi w:val="0"/>
        <w:adjustRightInd w:val="0"/>
        <w:snapToGrid w:val="0"/>
        <w:spacing w:before="0" w:after="0" w:line="570" w:lineRule="exact"/>
        <w:ind w:left="0" w:leftChars="0" w:right="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总则</w:t>
      </w:r>
    </w:p>
    <w:p>
      <w:pPr>
        <w:keepNext w:val="0"/>
        <w:keepLines w:val="0"/>
        <w:pageBreakBefore w:val="0"/>
        <w:widowControl w:val="0"/>
        <w:numPr>
          <w:ilvl w:val="0"/>
          <w:numId w:val="2"/>
        </w:numPr>
        <w:shd w:val="clear" w:color="auto" w:fill="auto"/>
        <w:kinsoku/>
        <w:wordWrap/>
        <w:overflowPunct/>
        <w:topLinePunct w:val="0"/>
        <w:autoSpaceDE/>
        <w:autoSpaceDN/>
        <w:bidi w:val="0"/>
        <w:adjustRightInd w:val="0"/>
        <w:snapToGrid w:val="0"/>
        <w:spacing w:before="0" w:after="0" w:line="57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为进一步推动我市学前教育改革与发展，扩大普惠性学前教育资源，全面提高学前教育整体办园质量与水平，根据《中共中央 国务院关于学前教育深化改革规范发展的若干意见》（2018年11月7日）和《中共河南省委 河南省人民政府关于学前教育深化改革规范发展的实施意见》（2020年4月10日）精神，市财政设立学前教育发展专项资金（以下简称学前教育专项资金）。为规范资金使用管理，根据《中华人民共和国预算法》、《郑州市人民政府关于印发郑州市市级财政专项资金管理办法的通知》（郑政文〔2014〕185号）、《中共郑州市委 郑州市人民政府关于全面推进预算绩效管理的实施意见》（郑发〔2020〕2号）和相关法律法规，结合我市实际，制定本办法。</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 xml:space="preserve"> 本办法所称学前教育专项资金，是由市级财政设立，统筹</w:t>
      </w:r>
      <w:r>
        <w:rPr>
          <w:rFonts w:hint="eastAsia" w:ascii="仿宋_GB2312" w:hAnsi="仿宋_GB2312" w:eastAsia="仿宋_GB2312" w:cs="仿宋_GB2312"/>
          <w:sz w:val="32"/>
          <w:szCs w:val="32"/>
          <w:highlight w:val="none"/>
          <w:lang w:val="en-US" w:eastAsia="zh-CN"/>
        </w:rPr>
        <w:t>用于支持全市学前教育事业发展的转移支付资金。</w:t>
      </w:r>
    </w:p>
    <w:p>
      <w:pPr>
        <w:pStyle w:val="8"/>
        <w:keepNext w:val="0"/>
        <w:keepLines w:val="0"/>
        <w:pageBreakBefore w:val="0"/>
        <w:widowControl/>
        <w:shd w:val="clear" w:color="auto" w:fill="auto"/>
        <w:kinsoku/>
        <w:wordWrap/>
        <w:overflowPunct/>
        <w:topLinePunct w:val="0"/>
        <w:autoSpaceDE/>
        <w:autoSpaceDN/>
        <w:bidi w:val="0"/>
        <w:spacing w:before="0" w:after="0" w:line="570" w:lineRule="exact"/>
        <w:ind w:left="0" w:leftChars="0"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b w:val="0"/>
          <w:bCs w:val="0"/>
          <w:kern w:val="2"/>
          <w:sz w:val="32"/>
          <w:szCs w:val="32"/>
          <w:lang w:val="en-US" w:eastAsia="zh-CN" w:bidi="ar-SA"/>
        </w:rPr>
        <w:t>学前教育专项资金的使用管理遵循</w:t>
      </w:r>
      <w:r>
        <w:rPr>
          <w:rFonts w:hint="eastAsia" w:ascii="仿宋_GB2312" w:hAnsi="仿宋_GB2312" w:eastAsia="仿宋_GB2312" w:cs="仿宋_GB2312"/>
          <w:b w:val="0"/>
          <w:bCs w:val="0"/>
          <w:kern w:val="2"/>
          <w:sz w:val="32"/>
          <w:szCs w:val="32"/>
          <w:lang w:val="en-US" w:eastAsia="zh-CN" w:bidi="ar-SA"/>
        </w:rPr>
        <w:t>“客观公正、突出重点、规范透明、奖补结合、</w:t>
      </w:r>
      <w:r>
        <w:rPr>
          <w:rFonts w:hint="default" w:ascii="仿宋_GB2312" w:hAnsi="仿宋_GB2312" w:eastAsia="仿宋_GB2312" w:cs="仿宋_GB2312"/>
          <w:b w:val="0"/>
          <w:bCs w:val="0"/>
          <w:kern w:val="2"/>
          <w:sz w:val="32"/>
          <w:szCs w:val="32"/>
          <w:lang w:val="en-US" w:eastAsia="zh-CN" w:bidi="ar-SA"/>
        </w:rPr>
        <w:t>注重绩效</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的原则</w:t>
      </w:r>
      <w:r>
        <w:rPr>
          <w:rFonts w:hint="eastAsia" w:ascii="仿宋_GB2312" w:hAnsi="仿宋_GB2312" w:eastAsia="仿宋_GB2312" w:cs="仿宋_GB2312"/>
          <w:b w:val="0"/>
          <w:bCs w:val="0"/>
          <w:kern w:val="2"/>
          <w:sz w:val="32"/>
          <w:szCs w:val="32"/>
          <w:lang w:val="en-US" w:eastAsia="zh-CN" w:bidi="ar-SA"/>
        </w:rPr>
        <w:t>，确保资金使用规范、安全和高效。</w:t>
      </w:r>
    </w:p>
    <w:p>
      <w:pPr>
        <w:keepNext w:val="0"/>
        <w:keepLines w:val="0"/>
        <w:pageBreakBefore w:val="0"/>
        <w:shd w:val="clear" w:color="auto" w:fill="auto"/>
        <w:kinsoku/>
        <w:wordWrap/>
        <w:overflowPunct/>
        <w:topLinePunct w:val="0"/>
        <w:autoSpaceDE/>
        <w:autoSpaceDN/>
        <w:bidi w:val="0"/>
        <w:spacing w:line="570" w:lineRule="exact"/>
        <w:textAlignment w:val="auto"/>
        <w:rPr>
          <w:rFonts w:hint="eastAsia" w:ascii="仿宋_GB2312" w:hAnsi="仿宋_GB2312" w:eastAsia="仿宋_GB2312" w:cs="仿宋_GB2312"/>
          <w:b w:val="0"/>
          <w:bCs w:val="0"/>
          <w:kern w:val="2"/>
          <w:sz w:val="32"/>
          <w:szCs w:val="32"/>
          <w:lang w:val="en-US" w:eastAsia="zh-CN"/>
        </w:rPr>
      </w:pPr>
    </w:p>
    <w:p>
      <w:pPr>
        <w:pStyle w:val="2"/>
        <w:keepNext w:val="0"/>
        <w:keepLines w:val="0"/>
        <w:pageBreakBefore w:val="0"/>
        <w:shd w:val="clear" w:color="auto" w:fill="auto"/>
        <w:kinsoku/>
        <w:wordWrap/>
        <w:overflowPunct/>
        <w:topLinePunct w:val="0"/>
        <w:autoSpaceDE/>
        <w:autoSpaceDN/>
        <w:bidi w:val="0"/>
        <w:spacing w:line="570" w:lineRule="exact"/>
        <w:ind w:left="0" w:leftChars="0" w:firstLine="0" w:firstLineChars="0"/>
        <w:textAlignment w:val="auto"/>
      </w:pPr>
    </w:p>
    <w:p>
      <w:pPr>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570" w:lineRule="exact"/>
        <w:ind w:left="0" w:leftChars="0" w:right="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职责分工</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bCs/>
          <w:color w:val="auto"/>
          <w:kern w:val="0"/>
          <w:sz w:val="32"/>
          <w:szCs w:val="32"/>
          <w:lang w:val="en-US" w:eastAsia="zh-CN" w:bidi="ar-SA"/>
        </w:rPr>
        <w:t>第</w:t>
      </w:r>
      <w:r>
        <w:rPr>
          <w:rFonts w:hint="eastAsia" w:eastAsia="黑体" w:cs="Times New Roman"/>
          <w:bCs/>
          <w:color w:val="auto"/>
          <w:kern w:val="0"/>
          <w:sz w:val="32"/>
          <w:szCs w:val="32"/>
          <w:lang w:val="en-US" w:eastAsia="zh-CN" w:bidi="ar-SA"/>
        </w:rPr>
        <w:t>四</w:t>
      </w:r>
      <w:r>
        <w:rPr>
          <w:rFonts w:hint="eastAsia" w:ascii="Times New Roman" w:hAnsi="Times New Roman" w:eastAsia="黑体" w:cs="Times New Roman"/>
          <w:bCs/>
          <w:color w:val="auto"/>
          <w:kern w:val="0"/>
          <w:sz w:val="32"/>
          <w:szCs w:val="32"/>
          <w:lang w:val="en-US" w:eastAsia="zh-CN" w:bidi="ar-SA"/>
        </w:rPr>
        <w:t>条</w:t>
      </w:r>
      <w:r>
        <w:rPr>
          <w:rFonts w:hint="eastAsia" w:eastAsia="黑体" w:cs="Times New Roman"/>
          <w:bCs/>
          <w:color w:val="auto"/>
          <w:sz w:val="34"/>
          <w:szCs w:val="34"/>
          <w:lang w:val="en-US" w:eastAsia="zh-CN"/>
        </w:rPr>
        <w:t xml:space="preserve"> </w:t>
      </w: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sz w:val="32"/>
          <w:szCs w:val="32"/>
          <w:lang w:val="en-US" w:eastAsia="zh-CN"/>
        </w:rPr>
        <w:t>学前教育专项资金由财政部门和教育部门共同管理。</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门负责资金管理。会同教育部门研究制定学前教育专项资金管理办法；组织编制学前教育专项资金中期财政规划和年度预算；审核教育部门提出的学前教育专项资金补助标准和分配方案；会同教育部门分配下达专项资金，指导监督资金使用管理；组织开展绩效评价工作。</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部门负责项目管理。会同财政部门研究制定教育专项资金项目管理办法，制定管理流程，规范资金管理；实施绩效评价；提供学前教育基础数据，负责指导项目实施和管理，指导督促项目单位建立健全财务管理制度和专项资金管理办法；开展绩效评价和监督检查专项资金使用情况。</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57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单位负责资金使用管理。确定专项资金绩效目标、制定项目实施计划；加强财务监管，健全财务制度，防范财务风险，提高专项资金使用效益。按照单位“三重一大”有关要求建立真实、完备的学前教育专项资金使用和管理台账，将每年反映学前教育专项资金使用管理工作全过程的影像、纸质及电子资料收集齐全，整理归档保存。</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57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区县(市)财政部门和教育部门要加强协调配合，确保市级财政下达的学前教育专项资金及时、足额拨付，指导和督促本区域项目单位健全财务、资产管理制度，对资金使用情况进行动态管理和跟踪问效，确保资金专款专用，提高资金使用效益。</w:t>
      </w:r>
    </w:p>
    <w:p>
      <w:pPr>
        <w:pStyle w:val="2"/>
        <w:keepNext w:val="0"/>
        <w:keepLines w:val="0"/>
        <w:pageBreakBefore w:val="0"/>
        <w:numPr>
          <w:ilvl w:val="0"/>
          <w:numId w:val="0"/>
        </w:numPr>
        <w:kinsoku/>
        <w:wordWrap/>
        <w:overflowPunct/>
        <w:topLinePunct w:val="0"/>
        <w:autoSpaceDE/>
        <w:autoSpaceDN/>
        <w:bidi w:val="0"/>
        <w:spacing w:line="570" w:lineRule="exact"/>
        <w:ind w:firstLine="640" w:firstLineChars="200"/>
        <w:textAlignment w:val="auto"/>
        <w:rPr>
          <w:rFonts w:hint="default" w:ascii="仿宋_GB2312" w:hAnsi="仿宋_GB2312" w:eastAsia="仿宋_GB2312" w:cs="仿宋_GB2312"/>
          <w:bCs w:val="0"/>
          <w:kern w:val="2"/>
          <w:sz w:val="32"/>
          <w:szCs w:val="32"/>
          <w:lang w:val="en-US" w:eastAsia="zh-CN" w:bidi="ar-SA"/>
        </w:rPr>
      </w:pPr>
      <w:r>
        <w:rPr>
          <w:rFonts w:hint="eastAsia" w:ascii="黑体" w:hAnsi="黑体" w:eastAsia="黑体" w:cs="黑体"/>
          <w:bCs w:val="0"/>
          <w:kern w:val="2"/>
          <w:sz w:val="32"/>
          <w:szCs w:val="32"/>
          <w:lang w:val="en-US" w:eastAsia="zh-CN" w:bidi="ar-SA"/>
        </w:rPr>
        <w:t xml:space="preserve">第六条  </w:t>
      </w:r>
      <w:r>
        <w:rPr>
          <w:rFonts w:hint="eastAsia" w:ascii="仿宋_GB2312" w:hAnsi="仿宋_GB2312" w:eastAsia="仿宋_GB2312" w:cs="仿宋_GB2312"/>
          <w:bCs w:val="0"/>
          <w:kern w:val="2"/>
          <w:sz w:val="32"/>
          <w:szCs w:val="32"/>
          <w:lang w:val="en-US" w:eastAsia="zh-CN" w:bidi="ar-SA"/>
        </w:rPr>
        <w:t>区县(市)是学前教育事业发展的责任主体，应当结合自身财力，切实保障县域学前教育发展经费投入。按照《中共中央国务院关于学前教育深化改革规范发展的若干意见》（2018年11月7日）、《河南省人民政府办公厅关于完善学前教育经费投入机制的通知》（豫政办〔2017〕143号）等有关要求，尽快建立完善与公益普惠方向和管理体制相适应的生均拨款、收费、资助一体化的学前教育经费投入机制，进一步提高公办幼儿园提供普惠性学前教育服务的能力，积极引导和扶持民办幼儿园提供普惠性服务，提升学前教育公共服务水平。</w:t>
      </w:r>
    </w:p>
    <w:p>
      <w:pPr>
        <w:pStyle w:val="2"/>
        <w:keepNext w:val="0"/>
        <w:keepLines w:val="0"/>
        <w:pageBreakBefore w:val="0"/>
        <w:shd w:val="clear" w:color="auto" w:fill="auto"/>
        <w:kinsoku/>
        <w:wordWrap/>
        <w:overflowPunct/>
        <w:topLinePunct w:val="0"/>
        <w:autoSpaceDE/>
        <w:autoSpaceDN/>
        <w:bidi w:val="0"/>
        <w:spacing w:line="570" w:lineRule="exact"/>
        <w:textAlignment w:val="auto"/>
        <w:rPr>
          <w:rFonts w:hint="eastAsia"/>
          <w:lang w:val="en-US" w:eastAsia="zh-CN"/>
        </w:rPr>
      </w:pPr>
    </w:p>
    <w:p>
      <w:pPr>
        <w:pStyle w:val="2"/>
        <w:keepNext w:val="0"/>
        <w:keepLines w:val="0"/>
        <w:pageBreakBefore w:val="0"/>
        <w:shd w:val="clear" w:color="auto" w:fill="auto"/>
        <w:kinsoku/>
        <w:wordWrap/>
        <w:overflowPunct/>
        <w:topLinePunct w:val="0"/>
        <w:autoSpaceDE/>
        <w:autoSpaceDN/>
        <w:bidi w:val="0"/>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570" w:lineRule="exact"/>
        <w:ind w:left="0" w:leftChars="0" w:right="0" w:firstLine="0" w:firstLineChars="0"/>
        <w:jc w:val="center"/>
        <w:textAlignment w:val="auto"/>
        <w:outlineLvl w:val="9"/>
        <w:rPr>
          <w:rFonts w:hint="default" w:ascii="Times New Roman" w:hAnsi="Times New Roman" w:eastAsia="黑体" w:cs="Times New Roman"/>
          <w:bCs/>
          <w:color w:val="auto"/>
          <w:sz w:val="32"/>
          <w:szCs w:val="32"/>
        </w:rPr>
      </w:pPr>
      <w:r>
        <w:rPr>
          <w:rFonts w:hint="eastAsia" w:ascii="黑体" w:hAnsi="黑体" w:eastAsia="黑体" w:cs="黑体"/>
          <w:sz w:val="32"/>
          <w:szCs w:val="32"/>
          <w:lang w:val="en-US" w:eastAsia="zh-CN"/>
        </w:rPr>
        <w:t xml:space="preserve"> 资金使用范围</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学前教育专项资金由市财政局、市教育局根据国家、省市有关学前教育决策部署和我市学前教育改革发展重点工作确定支持内容。现阶段，重点支持“多种形式扩大公办学前教育资源”、“扶持普惠性民办幼儿园发展”和“</w:t>
      </w:r>
      <w:r>
        <w:rPr>
          <w:rFonts w:hint="eastAsia" w:ascii="仿宋_GB2312" w:hAnsi="仿宋_GB2312" w:eastAsia="仿宋_GB2312" w:cs="仿宋_GB2312"/>
          <w:b w:val="0"/>
          <w:bCs w:val="0"/>
          <w:kern w:val="2"/>
          <w:sz w:val="32"/>
          <w:szCs w:val="32"/>
          <w:lang w:val="en-US" w:eastAsia="zh-CN" w:bidi="ar-SA"/>
        </w:rPr>
        <w:t>提升学前教育质量</w:t>
      </w:r>
      <w:r>
        <w:rPr>
          <w:rFonts w:hint="eastAsia" w:ascii="仿宋_GB2312" w:hAnsi="仿宋_GB2312" w:eastAsia="仿宋_GB2312" w:cs="仿宋_GB2312"/>
          <w:sz w:val="32"/>
          <w:szCs w:val="32"/>
          <w:lang w:val="en-US" w:eastAsia="zh-CN"/>
        </w:rPr>
        <w:t>”三类奖补等。</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“多种形式扩大公办学前教育资源”奖补主要包括：支持</w:t>
      </w:r>
      <w:r>
        <w:rPr>
          <w:rFonts w:hint="default" w:ascii="仿宋_GB2312" w:hAnsi="仿宋_GB2312" w:eastAsia="仿宋_GB2312" w:cs="仿宋_GB2312"/>
          <w:b w:val="0"/>
          <w:bCs w:val="0"/>
          <w:kern w:val="2"/>
          <w:sz w:val="32"/>
          <w:szCs w:val="32"/>
          <w:lang w:val="en-US" w:eastAsia="zh-CN" w:bidi="ar-SA"/>
        </w:rPr>
        <w:t>区县(市)</w:t>
      </w:r>
      <w:r>
        <w:rPr>
          <w:rFonts w:hint="eastAsia" w:ascii="仿宋_GB2312" w:hAnsi="宋体" w:eastAsia="仿宋_GB2312"/>
          <w:sz w:val="32"/>
          <w:szCs w:val="32"/>
        </w:rPr>
        <w:t>新建或改扩建公办幼儿园建设</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推进</w:t>
      </w:r>
      <w:r>
        <w:rPr>
          <w:rFonts w:hint="eastAsia" w:ascii="仿宋_GB2312" w:hAnsi="仿宋_GB2312" w:eastAsia="仿宋_GB2312" w:cs="仿宋_GB2312"/>
          <w:sz w:val="32"/>
          <w:szCs w:val="32"/>
          <w:lang w:val="en-US" w:eastAsia="zh-CN"/>
        </w:rPr>
        <w:t>新增公办幼儿园投入使用、</w:t>
      </w:r>
      <w:r>
        <w:rPr>
          <w:rFonts w:hint="eastAsia" w:ascii="仿宋_GB2312" w:hAnsi="宋体" w:eastAsia="仿宋_GB2312"/>
          <w:sz w:val="32"/>
          <w:szCs w:val="32"/>
          <w:lang w:val="en-US" w:eastAsia="zh-CN"/>
        </w:rPr>
        <w:t>鼓励</w:t>
      </w:r>
      <w:r>
        <w:rPr>
          <w:rFonts w:hint="eastAsia" w:ascii="仿宋_GB2312" w:hAnsi="仿宋_GB2312" w:eastAsia="仿宋_GB2312" w:cs="仿宋_GB2312"/>
          <w:sz w:val="32"/>
          <w:szCs w:val="32"/>
          <w:lang w:val="en-US" w:eastAsia="zh-CN"/>
        </w:rPr>
        <w:t>城镇小区配套幼儿园治理后办公办园等多种形式扩大公办学前教育资源，改善办园条件。</w:t>
      </w:r>
    </w:p>
    <w:p>
      <w:pPr>
        <w:pStyle w:val="2"/>
        <w:keepNext w:val="0"/>
        <w:keepLines w:val="0"/>
        <w:pageBreakBefore w:val="0"/>
        <w:kinsoku/>
        <w:wordWrap/>
        <w:overflowPunct/>
        <w:topLinePunct w:val="0"/>
        <w:autoSpaceDE/>
        <w:autoSpaceDN/>
        <w:bidi w:val="0"/>
        <w:spacing w:line="570" w:lineRule="exact"/>
        <w:ind w:left="0" w:leftChars="0" w:firstLine="640" w:firstLineChars="200"/>
        <w:textAlignment w:val="auto"/>
        <w:rPr>
          <w:rFonts w:hint="eastAsia" w:ascii="仿宋_GB2312" w:hAnsi="仿宋_GB2312" w:eastAsia="仿宋_GB2312" w:cs="仿宋_GB2312"/>
          <w:bCs w:val="0"/>
          <w:kern w:val="2"/>
          <w:sz w:val="32"/>
          <w:szCs w:val="32"/>
          <w:lang w:val="en-US" w:eastAsia="zh-CN" w:bidi="ar-SA"/>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bCs w:val="0"/>
          <w:kern w:val="2"/>
          <w:sz w:val="32"/>
          <w:szCs w:val="32"/>
          <w:lang w:val="en-US" w:eastAsia="zh-CN" w:bidi="ar-SA"/>
        </w:rPr>
        <w:t>“扶持普惠性民办幼儿园发展”奖补主要包括：鼓励支持民办幼儿园提供面向大众、收费合理、质量合格的普惠性服务，发挥优质普惠民办幼儿园示范效应，整体提升区域普惠民办幼儿园办园质量。</w:t>
      </w:r>
    </w:p>
    <w:p>
      <w:pPr>
        <w:pStyle w:val="2"/>
        <w:keepNext w:val="0"/>
        <w:keepLines w:val="0"/>
        <w:pageBreakBefore w:val="0"/>
        <w:kinsoku/>
        <w:wordWrap/>
        <w:overflowPunct/>
        <w:topLinePunct w:val="0"/>
        <w:autoSpaceDE/>
        <w:autoSpaceDN/>
        <w:bidi w:val="0"/>
        <w:spacing w:line="57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提升学前教育质量</w:t>
      </w:r>
      <w:r>
        <w:rPr>
          <w:rFonts w:hint="eastAsia" w:ascii="仿宋_GB2312" w:hAnsi="仿宋_GB2312" w:eastAsia="仿宋_GB2312" w:cs="仿宋_GB2312"/>
          <w:sz w:val="32"/>
          <w:szCs w:val="32"/>
          <w:lang w:val="en-US" w:eastAsia="zh-CN"/>
        </w:rPr>
        <w:t>”奖补主要包括：鼓励</w:t>
      </w:r>
      <w:r>
        <w:rPr>
          <w:rFonts w:hint="default" w:ascii="仿宋_GB2312" w:hAnsi="仿宋_GB2312" w:eastAsia="仿宋_GB2312" w:cs="仿宋_GB2312"/>
          <w:b w:val="0"/>
          <w:bCs w:val="0"/>
          <w:kern w:val="2"/>
          <w:sz w:val="32"/>
          <w:szCs w:val="32"/>
          <w:lang w:val="en-US" w:eastAsia="zh-CN" w:bidi="ar-SA"/>
        </w:rPr>
        <w:t>区县(市)</w:t>
      </w:r>
      <w:r>
        <w:rPr>
          <w:rFonts w:hint="eastAsia" w:ascii="仿宋_GB2312" w:hAnsi="仿宋_GB2312" w:eastAsia="仿宋_GB2312" w:cs="仿宋_GB2312"/>
          <w:sz w:val="32"/>
          <w:szCs w:val="32"/>
          <w:lang w:val="en-US" w:eastAsia="zh-CN"/>
        </w:rPr>
        <w:t>积极开展学前教育集团化办学，支持领航幼儿园承担新优质幼儿园的帮扶任务，全面促进新增幼儿园优质高效投用，提升全市学前教育质量和水平。</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学前教育专项资金用于奖补“多种形式扩大公办学前教育资源”的幼儿园必须达到《河南省幼儿园办园基本标准(试行)》（豫政办〔2012〕169号）中所有办园指标；用于奖补</w:t>
      </w:r>
      <w:r>
        <w:rPr>
          <w:rFonts w:hint="eastAsia" w:ascii="仿宋_GB2312" w:hAnsi="仿宋_GB2312" w:eastAsia="仿宋_GB2312" w:cs="仿宋_GB2312"/>
          <w:bCs w:val="0"/>
          <w:kern w:val="2"/>
          <w:sz w:val="32"/>
          <w:szCs w:val="32"/>
          <w:lang w:val="en-US" w:eastAsia="zh-CN" w:bidi="ar-SA"/>
        </w:rPr>
        <w:t>“扶持普惠性民办幼儿园发展”的幼儿园</w:t>
      </w:r>
      <w:r>
        <w:rPr>
          <w:rFonts w:hint="eastAsia" w:ascii="仿宋_GB2312" w:hAnsi="仿宋_GB2312" w:eastAsia="仿宋_GB2312" w:cs="仿宋_GB2312"/>
          <w:sz w:val="32"/>
          <w:szCs w:val="32"/>
          <w:lang w:val="en-US" w:eastAsia="zh-CN"/>
        </w:rPr>
        <w:t>必须是经</w:t>
      </w:r>
      <w:r>
        <w:rPr>
          <w:rFonts w:hint="default" w:ascii="仿宋_GB2312" w:hAnsi="仿宋_GB2312" w:eastAsia="仿宋_GB2312" w:cs="仿宋_GB2312"/>
          <w:b w:val="0"/>
          <w:bCs w:val="0"/>
          <w:kern w:val="2"/>
          <w:sz w:val="32"/>
          <w:szCs w:val="32"/>
          <w:lang w:val="en-US" w:eastAsia="zh-CN" w:bidi="ar-SA"/>
        </w:rPr>
        <w:t>区县(市)</w:t>
      </w:r>
      <w:r>
        <w:rPr>
          <w:rFonts w:hint="eastAsia" w:ascii="仿宋_GB2312" w:hAnsi="仿宋_GB2312" w:eastAsia="仿宋_GB2312" w:cs="仿宋_GB2312"/>
          <w:sz w:val="32"/>
          <w:szCs w:val="32"/>
          <w:lang w:val="en-US" w:eastAsia="zh-CN"/>
        </w:rPr>
        <w:t>教育部门认定并公示的普惠性幼儿园</w:t>
      </w:r>
      <w:r>
        <w:rPr>
          <w:rFonts w:hint="eastAsia" w:ascii="仿宋_GB2312" w:hAnsi="仿宋_GB2312" w:eastAsia="仿宋_GB2312" w:cs="仿宋_GB2312"/>
          <w:bCs w:val="0"/>
          <w:kern w:val="2"/>
          <w:sz w:val="32"/>
          <w:szCs w:val="32"/>
          <w:lang w:val="en-US" w:eastAsia="zh-CN" w:bidi="ar-SA"/>
        </w:rPr>
        <w:t>，党组织健全，党的工作全覆盖</w:t>
      </w:r>
      <w:r>
        <w:rPr>
          <w:rFonts w:hint="default" w:ascii="仿宋_GB2312" w:hAnsi="仿宋_GB2312" w:eastAsia="仿宋_GB2312" w:cs="仿宋_GB2312"/>
          <w:bCs w:val="0"/>
          <w:kern w:val="2"/>
          <w:sz w:val="32"/>
          <w:szCs w:val="32"/>
          <w:lang w:val="en-US" w:eastAsia="zh-CN" w:bidi="ar-SA"/>
        </w:rPr>
        <w:t>，</w:t>
      </w:r>
      <w:r>
        <w:rPr>
          <w:rFonts w:hint="eastAsia" w:ascii="仿宋_GB2312" w:hAnsi="仿宋_GB2312" w:eastAsia="仿宋_GB2312" w:cs="仿宋_GB2312"/>
          <w:bCs w:val="0"/>
          <w:kern w:val="2"/>
          <w:sz w:val="32"/>
          <w:szCs w:val="32"/>
          <w:lang w:val="en-US" w:eastAsia="zh-CN" w:bidi="ar-SA"/>
        </w:rPr>
        <w:t>近三年年检合格，办园行为规范，社会影响较好，若为优质普惠民办园必须达到县级示范性幼儿园及以上等级，且</w:t>
      </w:r>
      <w:r>
        <w:rPr>
          <w:rFonts w:hint="eastAsia" w:ascii="仿宋_GB2312" w:hAnsi="仿宋_GB2312" w:eastAsia="仿宋_GB2312" w:cs="仿宋_GB2312"/>
          <w:sz w:val="32"/>
          <w:szCs w:val="32"/>
          <w:lang w:val="en-US" w:eastAsia="zh-CN"/>
        </w:rPr>
        <w:t>由郑州市教育局认定公示；用于奖补“提升学前教育质量”的幼儿园必须在办园理念、园所文化、园务管理、保教质量等方面办园绩效突出，</w:t>
      </w:r>
      <w:r>
        <w:rPr>
          <w:rFonts w:hint="default" w:ascii="仿宋_GB2312" w:hAnsi="仿宋_GB2312" w:eastAsia="仿宋_GB2312" w:cs="仿宋_GB2312"/>
          <w:sz w:val="32"/>
          <w:szCs w:val="32"/>
          <w:lang w:val="en-US" w:eastAsia="zh-CN"/>
        </w:rPr>
        <w:t>充分发挥示范、引领、辐射作用</w:t>
      </w:r>
      <w:r>
        <w:rPr>
          <w:rFonts w:hint="eastAsia" w:ascii="仿宋_GB2312" w:hAnsi="仿宋_GB2312" w:eastAsia="仿宋_GB2312" w:cs="仿宋_GB2312"/>
          <w:sz w:val="32"/>
          <w:szCs w:val="32"/>
          <w:lang w:val="en-US" w:eastAsia="zh-CN"/>
        </w:rPr>
        <w:t>，若为领航幼儿园</w:t>
      </w:r>
      <w:r>
        <w:rPr>
          <w:rFonts w:hint="eastAsia" w:ascii="仿宋_GB2312" w:hAnsi="仿宋_GB2312" w:eastAsia="仿宋_GB2312" w:cs="仿宋_GB2312"/>
          <w:bCs w:val="0"/>
          <w:kern w:val="2"/>
          <w:sz w:val="32"/>
          <w:szCs w:val="32"/>
          <w:lang w:val="en-US" w:eastAsia="zh-CN" w:bidi="ar-SA"/>
        </w:rPr>
        <w:t>必须</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bCs w:val="0"/>
          <w:kern w:val="2"/>
          <w:sz w:val="32"/>
          <w:szCs w:val="32"/>
          <w:lang w:val="en-US" w:eastAsia="zh-CN" w:bidi="ar-SA"/>
        </w:rPr>
        <w:t>市级示范性幼儿园及以上等级</w:t>
      </w:r>
      <w:r>
        <w:rPr>
          <w:rFonts w:hint="eastAsia" w:ascii="仿宋_GB2312" w:hAnsi="仿宋_GB2312" w:eastAsia="仿宋_GB2312" w:cs="仿宋_GB2312"/>
          <w:sz w:val="32"/>
          <w:szCs w:val="32"/>
          <w:lang w:val="en-US" w:eastAsia="zh-CN"/>
        </w:rPr>
        <w:t>的普惠性幼儿园</w:t>
      </w:r>
      <w:r>
        <w:rPr>
          <w:rFonts w:hint="eastAsia" w:ascii="仿宋_GB2312" w:hAnsi="仿宋_GB2312" w:eastAsia="仿宋_GB2312" w:cs="仿宋_GB2312"/>
          <w:bCs w:val="0"/>
          <w:kern w:val="2"/>
          <w:sz w:val="32"/>
          <w:szCs w:val="32"/>
          <w:lang w:val="en-US" w:eastAsia="zh-CN" w:bidi="ar-SA"/>
        </w:rPr>
        <w:t>，</w:t>
      </w:r>
      <w:r>
        <w:rPr>
          <w:rFonts w:hint="eastAsia" w:ascii="仿宋_GB2312" w:hAnsi="仿宋_GB2312" w:eastAsia="仿宋_GB2312" w:cs="仿宋_GB2312"/>
          <w:sz w:val="32"/>
          <w:szCs w:val="32"/>
          <w:lang w:val="en-US" w:eastAsia="zh-CN"/>
        </w:rPr>
        <w:t>愿意承担新优质幼儿园的帮扶任务，且由郑州市教育局认定公示。</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市财政局、市教育局根据我市学前教育改革发展形势要求，适时调整完善学前教育专项资金支持范围和使用方向。</w:t>
      </w:r>
    </w:p>
    <w:p>
      <w:pPr>
        <w:pStyle w:val="2"/>
        <w:keepNext w:val="0"/>
        <w:keepLines w:val="0"/>
        <w:pageBreakBefore w:val="0"/>
        <w:shd w:val="clear" w:color="auto" w:fill="auto"/>
        <w:kinsoku/>
        <w:wordWrap/>
        <w:overflowPunct/>
        <w:topLinePunct w:val="0"/>
        <w:autoSpaceDE/>
        <w:autoSpaceDN/>
        <w:bidi w:val="0"/>
        <w:spacing w:line="570" w:lineRule="exact"/>
        <w:textAlignment w:val="auto"/>
        <w:rPr>
          <w:rFonts w:hint="eastAsia"/>
          <w:sz w:val="21"/>
          <w:szCs w:val="22"/>
          <w:lang w:val="en-US" w:eastAsia="zh-CN"/>
        </w:rPr>
      </w:pPr>
    </w:p>
    <w:p>
      <w:pPr>
        <w:pStyle w:val="2"/>
        <w:keepNext w:val="0"/>
        <w:keepLines w:val="0"/>
        <w:pageBreakBefore w:val="0"/>
        <w:shd w:val="clear" w:color="auto" w:fill="auto"/>
        <w:kinsoku/>
        <w:wordWrap/>
        <w:overflowPunct/>
        <w:topLinePunct w:val="0"/>
        <w:autoSpaceDE/>
        <w:autoSpaceDN/>
        <w:bidi w:val="0"/>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570" w:lineRule="exact"/>
        <w:ind w:left="0" w:leftChars="0" w:right="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资金分配</w:t>
      </w:r>
    </w:p>
    <w:p>
      <w:pPr>
        <w:pStyle w:val="2"/>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Cs w:val="0"/>
          <w:kern w:val="2"/>
          <w:sz w:val="32"/>
          <w:szCs w:val="32"/>
          <w:lang w:val="en-US" w:eastAsia="zh-CN" w:bidi="ar-SA"/>
        </w:rPr>
      </w:pPr>
      <w:r>
        <w:rPr>
          <w:rFonts w:hint="eastAsia" w:ascii="黑体" w:hAnsi="黑体" w:eastAsia="黑体" w:cs="黑体"/>
          <w:bCs w:val="0"/>
          <w:kern w:val="2"/>
          <w:sz w:val="32"/>
          <w:szCs w:val="32"/>
          <w:lang w:val="en-US" w:eastAsia="zh-CN" w:bidi="ar-SA"/>
        </w:rPr>
        <w:t>第十三条</w:t>
      </w:r>
      <w:r>
        <w:rPr>
          <w:rFonts w:hint="eastAsia" w:ascii="仿宋_GB2312" w:hAnsi="仿宋_GB2312" w:eastAsia="仿宋_GB2312" w:cs="仿宋_GB2312"/>
          <w:bCs w:val="0"/>
          <w:kern w:val="2"/>
          <w:sz w:val="32"/>
          <w:szCs w:val="32"/>
          <w:lang w:val="en-US" w:eastAsia="zh-CN" w:bidi="ar-SA"/>
        </w:rPr>
        <w:t xml:space="preserve">  学前教育专项资金分配采用因素法和项目法相结合的方式，按照资金支持的方向、相应的目标任务及相关的考核办法进行分配。</w:t>
      </w:r>
    </w:p>
    <w:p>
      <w:pPr>
        <w:pStyle w:val="2"/>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val="0"/>
          <w:kern w:val="2"/>
          <w:sz w:val="32"/>
          <w:szCs w:val="32"/>
          <w:lang w:val="en-US" w:eastAsia="zh-CN" w:bidi="ar-SA"/>
        </w:rPr>
      </w:pPr>
      <w:r>
        <w:rPr>
          <w:rFonts w:hint="eastAsia" w:ascii="黑体" w:hAnsi="黑体" w:eastAsia="黑体" w:cs="黑体"/>
          <w:bCs w:val="0"/>
          <w:kern w:val="2"/>
          <w:sz w:val="32"/>
          <w:szCs w:val="32"/>
          <w:lang w:val="en-US" w:eastAsia="zh-CN" w:bidi="ar-SA"/>
        </w:rPr>
        <w:t>第十四条</w:t>
      </w:r>
      <w:r>
        <w:rPr>
          <w:rFonts w:hint="eastAsia" w:ascii="仿宋_GB2312" w:hAnsi="仿宋_GB2312" w:eastAsia="仿宋_GB2312" w:cs="仿宋_GB2312"/>
          <w:bCs w:val="0"/>
          <w:kern w:val="2"/>
          <w:sz w:val="32"/>
          <w:szCs w:val="32"/>
          <w:lang w:val="en-US" w:eastAsia="zh-CN" w:bidi="ar-SA"/>
        </w:rPr>
        <w:t xml:space="preserve">  因素法分配是指依据各地适龄幼儿数、公办率、普惠率、财政投入、区域重点项目及资金绩效评价情况、基础工作完成情况等子因素，按照权重进行测算分配。上述子因素数据取自郑州市教育事业发展统计公报、全国学前教育管理信息系统、郑州市学前教育信息管理系统、相关统计资料及规划。</w:t>
      </w:r>
    </w:p>
    <w:p>
      <w:pPr>
        <w:pStyle w:val="2"/>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第十五条</w:t>
      </w:r>
      <w:r>
        <w:rPr>
          <w:rFonts w:hint="eastAsia" w:ascii="仿宋_GB2312" w:hAnsi="仿宋_GB2312" w:eastAsia="仿宋_GB2312" w:cs="仿宋_GB2312"/>
          <w:bCs w:val="0"/>
          <w:kern w:val="2"/>
          <w:sz w:val="32"/>
          <w:szCs w:val="32"/>
          <w:lang w:val="en-US" w:eastAsia="zh-CN" w:bidi="ar-SA"/>
        </w:rPr>
        <w:t xml:space="preserve">  项目法分配是指由市财政局、市教育局从我市学前教育改革发展重点工作中选取重点项目或通过公开择优确定具体项目，并经相应程序考核认定。</w:t>
      </w:r>
    </w:p>
    <w:p>
      <w:pPr>
        <w:pStyle w:val="2"/>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val="0"/>
          <w:kern w:val="2"/>
          <w:sz w:val="32"/>
          <w:szCs w:val="32"/>
          <w:lang w:val="en-US" w:eastAsia="zh-CN" w:bidi="ar-SA"/>
        </w:rPr>
      </w:pPr>
      <w:r>
        <w:rPr>
          <w:rFonts w:hint="eastAsia" w:ascii="黑体" w:hAnsi="黑体" w:eastAsia="黑体" w:cs="黑体"/>
          <w:bCs w:val="0"/>
          <w:kern w:val="2"/>
          <w:sz w:val="32"/>
          <w:szCs w:val="32"/>
          <w:lang w:val="en-US" w:eastAsia="zh-CN" w:bidi="ar-SA"/>
        </w:rPr>
        <w:t>第十六条</w:t>
      </w:r>
      <w:r>
        <w:rPr>
          <w:rFonts w:hint="eastAsia" w:ascii="仿宋_GB2312" w:hAnsi="仿宋_GB2312" w:eastAsia="仿宋_GB2312" w:cs="仿宋_GB2312"/>
          <w:bCs w:val="0"/>
          <w:kern w:val="2"/>
          <w:sz w:val="32"/>
          <w:szCs w:val="32"/>
          <w:lang w:val="en-US" w:eastAsia="zh-CN" w:bidi="ar-SA"/>
        </w:rPr>
        <w:t xml:space="preserve">  市财政局、市教育局根据工作开展情况，适时调整完善资金分配因素。</w:t>
      </w:r>
    </w:p>
    <w:p>
      <w:pPr>
        <w:pStyle w:val="2"/>
        <w:keepNext w:val="0"/>
        <w:keepLines w:val="0"/>
        <w:pageBreakBefore w:val="0"/>
        <w:shd w:val="clear" w:color="auto" w:fill="auto"/>
        <w:kinsoku/>
        <w:wordWrap/>
        <w:overflowPunct/>
        <w:topLinePunct w:val="0"/>
        <w:autoSpaceDE/>
        <w:autoSpaceDN/>
        <w:bidi w:val="0"/>
        <w:spacing w:line="570" w:lineRule="exact"/>
        <w:ind w:firstLine="861" w:firstLineChars="0"/>
        <w:textAlignment w:val="auto"/>
        <w:rPr>
          <w:rFonts w:hint="eastAsia"/>
          <w:sz w:val="21"/>
          <w:szCs w:val="22"/>
          <w:lang w:val="en-US" w:eastAsia="zh-CN"/>
        </w:rPr>
      </w:pPr>
    </w:p>
    <w:p>
      <w:pPr>
        <w:pStyle w:val="2"/>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val="0"/>
          <w:kern w:val="2"/>
          <w:sz w:val="32"/>
          <w:szCs w:val="32"/>
          <w:lang w:val="en-US" w:eastAsia="zh-CN" w:bidi="ar-SA"/>
        </w:rPr>
      </w:pPr>
    </w:p>
    <w:p>
      <w:pPr>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570" w:lineRule="exact"/>
        <w:ind w:left="0" w:leftChars="0" w:right="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资金拨付及使用</w:t>
      </w:r>
    </w:p>
    <w:p>
      <w:pPr>
        <w:pStyle w:val="8"/>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after="0"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Cs w:val="0"/>
          <w:kern w:val="2"/>
          <w:sz w:val="32"/>
          <w:szCs w:val="32"/>
          <w:lang w:val="en-US" w:eastAsia="zh-CN"/>
        </w:rPr>
        <w:t>第十七条</w:t>
      </w:r>
      <w:r>
        <w:rPr>
          <w:rFonts w:hint="eastAsia" w:ascii="仿宋_GB2312" w:hAnsi="仿宋_GB2312" w:eastAsia="仿宋_GB2312" w:cs="仿宋_GB2312"/>
          <w:bCs w:val="0"/>
          <w:kern w:val="2"/>
          <w:sz w:val="32"/>
          <w:szCs w:val="32"/>
          <w:lang w:val="en-US" w:eastAsia="zh-CN"/>
        </w:rPr>
        <w:t xml:space="preserve">  学前教育专项资金</w:t>
      </w:r>
      <w:r>
        <w:rPr>
          <w:rFonts w:hint="eastAsia" w:ascii="仿宋_GB2312" w:hAnsi="仿宋_GB2312" w:eastAsia="仿宋_GB2312" w:cs="仿宋_GB2312"/>
          <w:sz w:val="32"/>
          <w:szCs w:val="32"/>
          <w:lang w:val="en-US" w:eastAsia="zh-CN"/>
        </w:rPr>
        <w:t>的分配由市教育局提出资金分配方案，市财政局根据市教育局的分配方案，审核后拨付资金至</w:t>
      </w:r>
      <w:r>
        <w:rPr>
          <w:rFonts w:hint="default" w:ascii="仿宋_GB2312" w:hAnsi="仿宋_GB2312" w:eastAsia="仿宋_GB2312" w:cs="仿宋_GB2312"/>
          <w:b w:val="0"/>
          <w:bCs w:val="0"/>
          <w:kern w:val="2"/>
          <w:sz w:val="32"/>
          <w:szCs w:val="32"/>
          <w:lang w:val="en-US" w:eastAsia="zh-CN" w:bidi="ar-SA"/>
        </w:rPr>
        <w:t>区县(市)</w:t>
      </w:r>
      <w:r>
        <w:rPr>
          <w:rFonts w:hint="eastAsia" w:ascii="仿宋_GB2312" w:hAnsi="仿宋_GB2312" w:eastAsia="仿宋_GB2312" w:cs="仿宋_GB2312"/>
          <w:sz w:val="32"/>
          <w:szCs w:val="32"/>
          <w:lang w:val="en-US" w:eastAsia="zh-CN"/>
        </w:rPr>
        <w:t>。区县（市）级财政部门应当在收到市级资金后30日内，将资金下达至各项目单位。</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7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Cs w:val="0"/>
          <w:kern w:val="2"/>
          <w:sz w:val="32"/>
          <w:szCs w:val="32"/>
          <w:lang w:val="en-US" w:eastAsia="zh-CN"/>
        </w:rPr>
        <w:t>第十八条</w:t>
      </w:r>
      <w:r>
        <w:rPr>
          <w:rFonts w:hint="eastAsia" w:ascii="仿宋_GB2312" w:hAnsi="仿宋_GB2312" w:eastAsia="仿宋_GB2312" w:cs="仿宋_GB2312"/>
          <w:bCs w:val="0"/>
          <w:kern w:val="2"/>
          <w:sz w:val="32"/>
          <w:szCs w:val="32"/>
          <w:lang w:val="en-US" w:eastAsia="zh-CN"/>
        </w:rPr>
        <w:t xml:space="preserve">  </w:t>
      </w:r>
      <w:r>
        <w:rPr>
          <w:rFonts w:hint="eastAsia" w:ascii="仿宋_GB2312" w:hAnsi="仿宋_GB2312" w:eastAsia="仿宋_GB2312" w:cs="仿宋_GB2312"/>
          <w:sz w:val="32"/>
          <w:szCs w:val="32"/>
          <w:lang w:val="en-US" w:eastAsia="zh-CN"/>
        </w:rPr>
        <w:t>学前教育专项资金下达后，项目单位应当按照规定开支范围使用资金，原则上应于当年形成支出，结转结余资金按照财政部门有关规定执行。</w:t>
      </w:r>
    </w:p>
    <w:p>
      <w:pPr>
        <w:pStyle w:val="2"/>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bCs w:val="0"/>
          <w:kern w:val="0"/>
          <w:sz w:val="32"/>
          <w:szCs w:val="32"/>
          <w:lang w:val="en-US" w:eastAsia="zh-CN" w:bidi="ar-SA"/>
        </w:rPr>
        <w:t>学前教育专项资金涉及政府采购的，按照政府采购有关法律制度执行；属于基本建设的项目，应当严格履行基本建设程序，执行相关建设标准和要求，确保工程质量；形成固定资产的，应及时纳入项目单位资产进行统一管理，认真维护。</w:t>
      </w:r>
    </w:p>
    <w:p>
      <w:pPr>
        <w:pStyle w:val="2"/>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Cs w:val="0"/>
          <w:kern w:val="2"/>
          <w:sz w:val="32"/>
          <w:szCs w:val="32"/>
          <w:lang w:val="en-US" w:eastAsia="zh-CN"/>
        </w:rPr>
        <w:t>第二十条</w:t>
      </w:r>
      <w:r>
        <w:rPr>
          <w:rFonts w:hint="eastAsia" w:ascii="仿宋_GB2312" w:hAnsi="仿宋_GB2312" w:eastAsia="仿宋_GB2312" w:cs="仿宋_GB2312"/>
          <w:bCs w:val="0"/>
          <w:kern w:val="2"/>
          <w:sz w:val="32"/>
          <w:szCs w:val="32"/>
          <w:lang w:val="en-US" w:eastAsia="zh-CN"/>
        </w:rPr>
        <w:t xml:space="preserve">  学前教育专项资金不得用于政府投入建设超标准、高收费的幼儿园。不得用于安排行政部门支出。不得用于偿还贷款。</w:t>
      </w:r>
      <w:r>
        <w:rPr>
          <w:rFonts w:hint="eastAsia" w:ascii="仿宋_GB2312" w:hAnsi="仿宋_GB2312" w:eastAsia="仿宋_GB2312" w:cs="仿宋_GB2312"/>
          <w:sz w:val="32"/>
          <w:szCs w:val="32"/>
          <w:lang w:val="en-US" w:eastAsia="zh-CN"/>
        </w:rPr>
        <w:t>对未按规定用途使用及其他违反相关管理办法的资金，收回财政统筹使用。</w:t>
      </w:r>
    </w:p>
    <w:p>
      <w:pPr>
        <w:pStyle w:val="2"/>
        <w:keepNext w:val="0"/>
        <w:keepLines w:val="0"/>
        <w:pageBreakBefore w:val="0"/>
        <w:shd w:val="clear" w:color="auto" w:fill="auto"/>
        <w:kinsoku/>
        <w:wordWrap/>
        <w:overflowPunct/>
        <w:topLinePunct w:val="0"/>
        <w:autoSpaceDE/>
        <w:autoSpaceDN/>
        <w:bidi w:val="0"/>
        <w:spacing w:line="570" w:lineRule="exact"/>
        <w:textAlignment w:val="auto"/>
        <w:rPr>
          <w:rFonts w:hint="eastAsia"/>
          <w:lang w:val="en-US" w:eastAsia="zh-CN"/>
        </w:rPr>
      </w:pPr>
    </w:p>
    <w:p>
      <w:pPr>
        <w:pStyle w:val="2"/>
        <w:keepNext w:val="0"/>
        <w:keepLines w:val="0"/>
        <w:pageBreakBefore w:val="0"/>
        <w:shd w:val="clear" w:color="auto" w:fill="auto"/>
        <w:kinsoku/>
        <w:wordWrap/>
        <w:overflowPunct/>
        <w:topLinePunct w:val="0"/>
        <w:autoSpaceDE/>
        <w:autoSpaceDN/>
        <w:bidi w:val="0"/>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570" w:lineRule="exact"/>
        <w:ind w:left="0" w:leftChars="0" w:right="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绩效考评</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kern w:val="2"/>
          <w:sz w:val="32"/>
          <w:szCs w:val="32"/>
          <w:lang w:val="en-US" w:eastAsia="zh-CN" w:bidi="ar-SA"/>
        </w:rPr>
        <w:t>第二十一条</w:t>
      </w:r>
      <w:r>
        <w:rPr>
          <w:rFonts w:hint="eastAsia" w:ascii="仿宋_GB2312" w:hAnsi="仿宋_GB2312" w:eastAsia="仿宋_GB2312" w:cs="仿宋_GB2312"/>
          <w:sz w:val="32"/>
          <w:szCs w:val="32"/>
          <w:lang w:val="en-US" w:eastAsia="zh-CN"/>
        </w:rPr>
        <w:t xml:space="preserve">  市教育局、市财政局加强学前教育专项资金的绩效管理，建立完善的绩效评价机制，强化绩效评价结果的运用。</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项目单位制定明细、量化、可考核的绩效目标。市教育局负责实施学前教育专项资金绩效评价，组织实施绩效评价，编制绩效报告报财政部门。</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市财政局负责对教育部门绩效评价结果进行抽查和再评价，将绩效评价结果作为安排专项资金的重要依据。</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kern w:val="2"/>
          <w:sz w:val="32"/>
          <w:szCs w:val="32"/>
          <w:lang w:val="en-US" w:eastAsia="zh-CN" w:bidi="ar-SA"/>
        </w:rPr>
        <w:t>第二十二条</w:t>
      </w:r>
      <w:r>
        <w:rPr>
          <w:rFonts w:hint="eastAsia" w:ascii="仿宋_GB2312" w:hAnsi="仿宋_GB2312" w:eastAsia="仿宋_GB2312" w:cs="仿宋_GB2312"/>
          <w:sz w:val="32"/>
          <w:szCs w:val="32"/>
          <w:lang w:val="en-US" w:eastAsia="zh-CN"/>
        </w:rPr>
        <w:t xml:space="preserve">  各区县(市)要建立健全学前教育专项资金绩效考评制度，对照绩效目标做好监控。认真组织开展绩效评价，强化评价结果应用，做好绩效信息公开，提高资金配置效率和使用效益。</w:t>
      </w:r>
    </w:p>
    <w:p>
      <w:pPr>
        <w:pStyle w:val="2"/>
        <w:keepNext w:val="0"/>
        <w:keepLines w:val="0"/>
        <w:pageBreakBefore w:val="0"/>
        <w:kinsoku/>
        <w:wordWrap/>
        <w:overflowPunct/>
        <w:topLinePunct w:val="0"/>
        <w:autoSpaceDE/>
        <w:autoSpaceDN/>
        <w:bidi w:val="0"/>
        <w:spacing w:line="570" w:lineRule="exact"/>
        <w:ind w:left="0" w:leftChars="0" w:firstLine="640" w:firstLineChars="200"/>
        <w:jc w:val="both"/>
        <w:textAlignment w:val="auto"/>
        <w:rPr>
          <w:rFonts w:hint="eastAsia" w:ascii="仿宋_GB2312" w:hAnsi="仿宋_GB2312" w:eastAsia="仿宋_GB2312" w:cs="仿宋_GB2312"/>
          <w:sz w:val="32"/>
          <w:szCs w:val="32"/>
          <w:highlight w:val="yellow"/>
          <w:lang w:val="en-US" w:eastAsia="zh-CN"/>
        </w:rPr>
      </w:pPr>
      <w:r>
        <w:rPr>
          <w:rFonts w:hint="eastAsia" w:ascii="黑体" w:hAnsi="黑体" w:eastAsia="黑体" w:cs="黑体"/>
          <w:b w:val="0"/>
          <w:bCs w:val="0"/>
          <w:kern w:val="2"/>
          <w:sz w:val="32"/>
          <w:szCs w:val="32"/>
          <w:lang w:val="en-US" w:eastAsia="zh-CN" w:bidi="ar-SA"/>
        </w:rPr>
        <w:t>第二十三条</w:t>
      </w:r>
      <w:r>
        <w:rPr>
          <w:rFonts w:hint="eastAsia" w:ascii="仿宋_GB2312" w:hAnsi="仿宋_GB2312" w:eastAsia="仿宋_GB2312" w:cs="仿宋_GB2312"/>
          <w:sz w:val="32"/>
          <w:szCs w:val="32"/>
          <w:lang w:val="en-US" w:eastAsia="zh-CN"/>
        </w:rPr>
        <w:t xml:space="preserve">  各区县(市)绩效自评工作由当地教育部门组织指导资金使用项目单位开展，汇总形成本区域内学前教育专项资金自评报告和自评表，经同级财政部门审核后，于每年12月31日前报送市财政局、市教育局，逾期未报视同自动放弃下年度学前教育专项资金。</w:t>
      </w:r>
    </w:p>
    <w:p>
      <w:pPr>
        <w:pStyle w:val="2"/>
        <w:keepNext w:val="0"/>
        <w:keepLines w:val="0"/>
        <w:pageBreakBefore w:val="0"/>
        <w:shd w:val="clear" w:color="auto" w:fill="auto"/>
        <w:kinsoku/>
        <w:wordWrap/>
        <w:overflowPunct/>
        <w:topLinePunct w:val="0"/>
        <w:autoSpaceDE/>
        <w:autoSpaceDN/>
        <w:bidi w:val="0"/>
        <w:spacing w:line="570" w:lineRule="exact"/>
        <w:textAlignment w:val="auto"/>
        <w:rPr>
          <w:rFonts w:hint="eastAsia"/>
          <w:lang w:val="en-US" w:eastAsia="zh-CN"/>
        </w:rPr>
      </w:pPr>
    </w:p>
    <w:p>
      <w:pPr>
        <w:pStyle w:val="2"/>
        <w:keepNext w:val="0"/>
        <w:keepLines w:val="0"/>
        <w:pageBreakBefore w:val="0"/>
        <w:kinsoku/>
        <w:wordWrap/>
        <w:overflowPunct/>
        <w:topLinePunct w:val="0"/>
        <w:autoSpaceDE/>
        <w:autoSpaceDN/>
        <w:bidi w:val="0"/>
        <w:spacing w:line="570" w:lineRule="exact"/>
        <w:ind w:left="0" w:leftChars="0" w:firstLine="0" w:firstLineChars="0"/>
        <w:jc w:val="both"/>
        <w:textAlignment w:val="auto"/>
        <w:rPr>
          <w:rFonts w:hint="eastAsia" w:ascii="黑体" w:hAnsi="黑体" w:eastAsia="黑体" w:cs="黑体"/>
          <w:sz w:val="32"/>
          <w:szCs w:val="32"/>
          <w:lang w:val="en-US" w:eastAsia="zh-CN"/>
        </w:rPr>
      </w:pPr>
    </w:p>
    <w:p>
      <w:pPr>
        <w:pStyle w:val="2"/>
        <w:keepNext w:val="0"/>
        <w:keepLines w:val="0"/>
        <w:pageBreakBefore w:val="0"/>
        <w:kinsoku/>
        <w:wordWrap/>
        <w:overflowPunct/>
        <w:topLinePunct w:val="0"/>
        <w:autoSpaceDE/>
        <w:autoSpaceDN/>
        <w:bidi w:val="0"/>
        <w:spacing w:line="57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第七章  监督检查</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kern w:val="2"/>
          <w:sz w:val="32"/>
          <w:szCs w:val="32"/>
          <w:lang w:val="en-US" w:eastAsia="zh-CN" w:bidi="ar-SA"/>
        </w:rPr>
        <w:t xml:space="preserve">第二十四条 </w:t>
      </w:r>
      <w:r>
        <w:rPr>
          <w:rFonts w:hint="eastAsia" w:ascii="仿宋_GB2312" w:hAnsi="仿宋_GB2312" w:eastAsia="仿宋_GB2312" w:cs="仿宋_GB2312"/>
          <w:sz w:val="32"/>
          <w:szCs w:val="32"/>
          <w:lang w:val="en-US" w:eastAsia="zh-CN"/>
        </w:rPr>
        <w:t xml:space="preserve"> 市财政局、市教育局根据各地学前教育专项资金使用管理情况，适时开展监督检查，将检查结果作为安排专项资金的重要依据。对违法违规的情况，及时采取通报、暂停拨付、收回资金等措施予以纠正。</w:t>
      </w:r>
    </w:p>
    <w:p>
      <w:pPr>
        <w:pStyle w:val="2"/>
        <w:keepNext w:val="0"/>
        <w:keepLines w:val="0"/>
        <w:pageBreakBefore w:val="0"/>
        <w:kinsoku/>
        <w:wordWrap/>
        <w:overflowPunct/>
        <w:topLinePunct w:val="0"/>
        <w:autoSpaceDE/>
        <w:autoSpaceDN/>
        <w:bidi w:val="0"/>
        <w:spacing w:line="57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kern w:val="2"/>
          <w:sz w:val="32"/>
          <w:szCs w:val="32"/>
          <w:lang w:val="en-US" w:eastAsia="zh-CN" w:bidi="ar-SA"/>
        </w:rPr>
        <w:t>第二十五条</w:t>
      </w:r>
      <w:r>
        <w:rPr>
          <w:rFonts w:hint="eastAsia" w:ascii="仿宋_GB2312" w:hAnsi="仿宋_GB2312" w:eastAsia="仿宋_GB2312" w:cs="仿宋_GB2312"/>
          <w:sz w:val="32"/>
          <w:szCs w:val="32"/>
          <w:lang w:val="en-US" w:eastAsia="zh-CN"/>
        </w:rPr>
        <w:t xml:space="preserve">  各区县(市)教育部门及幼儿园要加强学前教育管理信息系统的使用和管理，确保项目和在园幼儿相关信息真实、准确、及时。</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各有关部门、项目单位要自觉接受财政、审计、监察部门的监督检查。对弄虚作假骗取资金，截留、挪用、挤占专项资金等违反财经</w:t>
      </w:r>
      <w:r>
        <w:rPr>
          <w:rFonts w:hint="eastAsia" w:ascii="仿宋_GB2312" w:hAnsi="仿宋_GB2312" w:eastAsia="仿宋_GB2312" w:cs="仿宋_GB2312"/>
          <w:color w:val="auto"/>
          <w:sz w:val="32"/>
          <w:szCs w:val="32"/>
          <w:lang w:val="en-US" w:eastAsia="zh-CN"/>
        </w:rPr>
        <w:t>法规行为的，</w:t>
      </w:r>
      <w:r>
        <w:rPr>
          <w:rFonts w:hint="eastAsia" w:ascii="仿宋_GB2312" w:hAnsi="仿宋_GB2312" w:eastAsia="仿宋_GB2312" w:cs="仿宋_GB2312"/>
          <w:sz w:val="32"/>
          <w:szCs w:val="32"/>
          <w:lang w:val="en-US" w:eastAsia="zh-CN"/>
        </w:rPr>
        <w:t>任何单位、组织和个人在学前教育专项资金分配、审核、使用等工作中存在违规违纪行为的，按照《中华人民共和国预算法》、《中华人民共和国公务员法》、《财政违法行为处罚处分条例》等有关法律法规追究相应责任；涉嫌犯罪的，依法移送司法机关处理。</w:t>
      </w:r>
    </w:p>
    <w:p>
      <w:pPr>
        <w:pStyle w:val="2"/>
        <w:keepNext w:val="0"/>
        <w:keepLines w:val="0"/>
        <w:pageBreakBefore w:val="0"/>
        <w:shd w:val="clear" w:color="auto" w:fill="auto"/>
        <w:kinsoku/>
        <w:wordWrap/>
        <w:overflowPunct/>
        <w:topLinePunct w:val="0"/>
        <w:autoSpaceDE/>
        <w:autoSpaceDN/>
        <w:bidi w:val="0"/>
        <w:spacing w:line="570" w:lineRule="exact"/>
        <w:textAlignment w:val="auto"/>
        <w:rPr>
          <w:rFonts w:hint="eastAsia"/>
          <w:lang w:val="en-US" w:eastAsia="zh-CN"/>
        </w:rPr>
      </w:pPr>
    </w:p>
    <w:p>
      <w:pPr>
        <w:pStyle w:val="2"/>
        <w:keepNext w:val="0"/>
        <w:keepLines w:val="0"/>
        <w:pageBreakBefore w:val="0"/>
        <w:kinsoku/>
        <w:wordWrap/>
        <w:overflowPunct/>
        <w:topLinePunct w:val="0"/>
        <w:autoSpaceDE/>
        <w:autoSpaceDN/>
        <w:bidi w:val="0"/>
        <w:spacing w:line="570" w:lineRule="exact"/>
        <w:ind w:left="0" w:leftChars="0" w:firstLine="0" w:firstLineChars="0"/>
        <w:jc w:val="both"/>
        <w:textAlignment w:val="auto"/>
        <w:rPr>
          <w:rFonts w:hint="eastAsia" w:ascii="黑体" w:hAnsi="黑体" w:eastAsia="黑体" w:cs="黑体"/>
          <w:sz w:val="32"/>
          <w:szCs w:val="32"/>
          <w:lang w:val="en-US" w:eastAsia="zh-CN"/>
        </w:rPr>
      </w:pPr>
    </w:p>
    <w:p>
      <w:pPr>
        <w:pStyle w:val="2"/>
        <w:keepNext w:val="0"/>
        <w:keepLines w:val="0"/>
        <w:pageBreakBefore w:val="0"/>
        <w:kinsoku/>
        <w:wordWrap/>
        <w:overflowPunct/>
        <w:topLinePunct w:val="0"/>
        <w:autoSpaceDE/>
        <w:autoSpaceDN/>
        <w:bidi w:val="0"/>
        <w:spacing w:line="570" w:lineRule="exact"/>
        <w:ind w:left="0" w:leftChars="0" w:firstLine="0" w:firstLineChars="0"/>
        <w:jc w:val="center"/>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第</w:t>
      </w:r>
      <w:r>
        <w:rPr>
          <w:rFonts w:hint="eastAsia" w:ascii="黑体" w:hAnsi="黑体" w:eastAsia="黑体" w:cs="黑体"/>
          <w:sz w:val="32"/>
          <w:szCs w:val="32"/>
          <w:lang w:val="en-US" w:eastAsia="zh-CN"/>
        </w:rPr>
        <w:t>八</w:t>
      </w:r>
      <w:r>
        <w:rPr>
          <w:rFonts w:hint="default" w:ascii="黑体" w:hAnsi="黑体" w:eastAsia="黑体" w:cs="黑体"/>
          <w:sz w:val="32"/>
          <w:szCs w:val="32"/>
          <w:lang w:val="en-US" w:eastAsia="zh-CN"/>
        </w:rPr>
        <w:t>章 附 则</w:t>
      </w:r>
    </w:p>
    <w:p>
      <w:pPr>
        <w:pStyle w:val="2"/>
        <w:keepNext w:val="0"/>
        <w:keepLines w:val="0"/>
        <w:pageBreakBefore w:val="0"/>
        <w:widowControl/>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本办法由</w:t>
      </w:r>
      <w:r>
        <w:rPr>
          <w:rFonts w:hint="eastAsia" w:ascii="仿宋_GB2312" w:hAnsi="仿宋_GB2312" w:eastAsia="仿宋_GB2312" w:cs="仿宋_GB2312"/>
          <w:sz w:val="32"/>
          <w:szCs w:val="32"/>
          <w:lang w:val="en-US" w:eastAsia="zh-CN"/>
        </w:rPr>
        <w:t>市财政局、市</w:t>
      </w:r>
      <w:r>
        <w:rPr>
          <w:rFonts w:hint="default"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lang w:val="en-US" w:eastAsia="zh-CN"/>
        </w:rPr>
        <w:t>局</w:t>
      </w:r>
      <w:r>
        <w:rPr>
          <w:rFonts w:hint="default" w:ascii="仿宋_GB2312" w:hAnsi="仿宋_GB2312" w:eastAsia="仿宋_GB2312" w:cs="仿宋_GB2312"/>
          <w:sz w:val="32"/>
          <w:szCs w:val="32"/>
          <w:lang w:val="en-US" w:eastAsia="zh-CN"/>
        </w:rPr>
        <w:t>负责解释。</w:t>
      </w:r>
    </w:p>
    <w:p>
      <w:pPr>
        <w:pStyle w:val="2"/>
        <w:keepNext w:val="0"/>
        <w:keepLines w:val="0"/>
        <w:pageBreakBefore w:val="0"/>
        <w:widowControl/>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本办法自印发之日起施行。</w:t>
      </w:r>
    </w:p>
    <w:p>
      <w:pPr>
        <w:pStyle w:val="2"/>
        <w:keepNext w:val="0"/>
        <w:keepLines w:val="0"/>
        <w:pageBreakBefore w:val="0"/>
        <w:widowControl/>
        <w:numPr>
          <w:ilvl w:val="0"/>
          <w:numId w:val="0"/>
        </w:numPr>
        <w:kinsoku/>
        <w:wordWrap/>
        <w:overflowPunct/>
        <w:topLinePunct w:val="0"/>
        <w:autoSpaceDE/>
        <w:autoSpaceDN/>
        <w:bidi w:val="0"/>
        <w:adjustRightInd/>
        <w:snapToGrid/>
        <w:spacing w:line="570" w:lineRule="exact"/>
        <w:textAlignment w:val="auto"/>
        <w:rPr>
          <w:rFonts w:hint="default"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lang w:val="en-US" w:eastAsia="zh-CN" w:bidi="ar-SA"/>
      </w:rPr>
      <w:pict>
        <v:rect id="文本框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D5630"/>
    <w:multiLevelType w:val="singleLevel"/>
    <w:tmpl w:val="8C5D5630"/>
    <w:lvl w:ilvl="0" w:tentative="0">
      <w:start w:val="1"/>
      <w:numFmt w:val="chineseCounting"/>
      <w:suff w:val="space"/>
      <w:lvlText w:val="第%1条"/>
      <w:lvlJc w:val="left"/>
      <w:rPr>
        <w:rFonts w:hint="eastAsia" w:ascii="黑体" w:hAnsi="黑体" w:eastAsia="黑体" w:cs="黑体"/>
      </w:rPr>
    </w:lvl>
  </w:abstractNum>
  <w:abstractNum w:abstractNumId="1">
    <w:nsid w:val="00000000"/>
    <w:multiLevelType w:val="singleLevel"/>
    <w:tmpl w:val="00000000"/>
    <w:lvl w:ilvl="0" w:tentative="0">
      <w:start w:val="1"/>
      <w:numFmt w:val="chineseCounting"/>
      <w:suff w:val="space"/>
      <w:lvlText w:val="第%1章"/>
      <w:lvlJc w:val="left"/>
    </w:lvl>
  </w:abstractNum>
  <w:abstractNum w:abstractNumId="2">
    <w:nsid w:val="00000001"/>
    <w:multiLevelType w:val="singleLevel"/>
    <w:tmpl w:val="00000001"/>
    <w:lvl w:ilvl="0" w:tentative="0">
      <w:start w:val="2"/>
      <w:numFmt w:val="chineseCounting"/>
      <w:suff w:val="space"/>
      <w:lvlText w:val="第%1章"/>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c1M2U2MmU4MTEwMzI5Y2FhYmQ3ZDg0Yzg1NWZlZDkifQ=="/>
  </w:docVars>
  <w:rsids>
    <w:rsidRoot w:val="00000000"/>
    <w:rsid w:val="0B536D2E"/>
    <w:rsid w:val="12BE0380"/>
    <w:rsid w:val="1C164978"/>
    <w:rsid w:val="1F0A7F58"/>
    <w:rsid w:val="24B30C8D"/>
    <w:rsid w:val="2CB60CE9"/>
    <w:rsid w:val="39A26B75"/>
    <w:rsid w:val="3B765F9D"/>
    <w:rsid w:val="3DDD2303"/>
    <w:rsid w:val="3F256FE2"/>
    <w:rsid w:val="52524C16"/>
    <w:rsid w:val="560A5808"/>
    <w:rsid w:val="6A3F387A"/>
    <w:rsid w:val="6B032AFA"/>
    <w:rsid w:val="728269FA"/>
    <w:rsid w:val="73FF684E"/>
    <w:rsid w:val="77DFB33A"/>
    <w:rsid w:val="77FC33F6"/>
    <w:rsid w:val="7E0667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qFormat/>
    <w:uiPriority w:val="99"/>
    <w:pPr>
      <w:ind w:firstLine="420"/>
    </w:pPr>
    <w:rPr>
      <w:rFonts w:ascii="Times New Roman" w:hAnsi="Times New Roman" w:eastAsia="宋体" w:cs="Times New Roman"/>
      <w:bCs/>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Emphasis"/>
    <w:basedOn w:val="6"/>
    <w:qFormat/>
    <w:uiPriority w:val="0"/>
    <w:rPr>
      <w:i/>
    </w:rPr>
  </w:style>
  <w:style w:type="paragraph" w:customStyle="1" w:styleId="8">
    <w:name w:val="p18"/>
    <w:basedOn w:val="1"/>
    <w:qFormat/>
    <w:uiPriority w:val="0"/>
    <w:pPr>
      <w:widowControl/>
      <w:spacing w:before="100" w:after="100"/>
      <w:ind w:firstLine="482"/>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3521</Words>
  <Characters>3558</Characters>
  <Lines>0</Lines>
  <Paragraphs>65</Paragraphs>
  <TotalTime>1</TotalTime>
  <ScaleCrop>false</ScaleCrop>
  <LinksUpToDate>false</LinksUpToDate>
  <CharactersWithSpaces>3646</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2021-04-28T18:05:00Z</dcterms:created>
  <dc:creator>王梦婕</dc:creator>
  <cp:lastModifiedBy>Administrator</cp:lastModifiedBy>
  <cp:lastPrinted>2022-03-24T17:54:00Z</cp:lastPrinted>
  <dcterms:modified xsi:type="dcterms:W3CDTF">2023-01-04T03:27:09Z</dcterms:modified>
  <dc:title>郑州市学前教育发展专项资金管理办法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9DFA7E2A6902495F8EA0C9E58A415DEC</vt:lpwstr>
  </property>
</Properties>
</file>