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郑州市文化广电和旅游局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2019年政府信息公开工作年度报告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根据《中华人民共和国政府信息公开条例》（以下简称《条例》）的规定，现公布郑州市文化广电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年政府信息公开年度报告。本报告由概述、主动公开政府信息情况、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收到和处里政府信息公开申请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情况、政府信息公开行政复议和行政诉讼情况、存在问题及改进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情况五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部分组成。内容涵盖郑州市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文化广电和旅游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局及市直文广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系统201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年1月1日至12月31日期间的政府信息公开工作情况。本报告的电子版可在郑州市文化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广电和旅游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局门户网站（http://wgx.zhengzhou.gov.cn/）查阅。如对本报告有任何疑问，请与市文广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局政务公开工作领导小组办公室（设在郑州市文化广电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局办公室）联系（地址：郑东新区CBD商务内环路17号1602室，邮编450018，电话：0371-6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9095788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一、郑州市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文化广电和旅游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局政府信息公开情况概述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郑州市文化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广电和旅游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按照《中华人民共和国信息公开条例》要求，在郑州市委、市政府的正确领导下，以保障公民、法人和其他组织的知情权，提高政府工作的透明度，促进依法行政为出发点和落脚点，扎实推进政府信息公开的各项工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在主动公开方面，两局合并后，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结合工作实际，认真修改了《郑州市文化广电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局政府信息公开目录》，并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在市大数据局的技术支持下，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及时在郑州市文化广电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局门户网站公开发布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年，我局通过“郑州市文化广电新闻出版局官方网站”主动公开各类政务信息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1733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内容涉及机构职能、领导信息、工作动态、政策文件、政务活动、通知公告及其它信息等。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在依申请公开方面，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制定了有关工作制度，对依申请公开的范围、方式、处理流程等作出了明确规定；专门确定1名党组成员和专门人员负责依申请公开政府信息工作，并将办公地址、办公时间、联系方式等向社会公开，方便公民、法人或者其他组织提出政府信息公开的申请；2019年我局收到政府信息公开申请1件，并在规定时限内及时回复了申请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在政府信息规范化管理方面，我局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由局一把手领导担任组长、分管局长具体负责、各处室负责人为成员的市文广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局政府信息与政务公开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通过制度健全和管理到位，我局全年政府信息公开工作运行正常，政府信息公开咨询、申请以及答复工作均得到了顺利开展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在政府信息公开平台建设方面，做好了政务新媒体的整合工作，保留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认证为“郑州市文化广电和旅游局”的官方微信公众平台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新浪官方微博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通过报纸、广播、电视、网络等媒体主动公开政府信息，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在郑州图书馆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设置政府信息与政务公开查询台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方便读者以及群众查询政府信息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在政府信息公开教育培训方面，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，我局举办了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市文化广电和旅游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，邀请了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市政府办公厅政府信息公开办公室副主任楚增光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授课，重点讲解了政务新媒体的管理和应用，局系统负责政府信息公开工作人员约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80余人参加了培训。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我局政府信息公开工作虽然取得了一定的成绩，但也存在一些问题，如由于我局各项工作任务繁重，负责信息公开的人员短缺，主动公开信息不及时；在公开信息的内容方面，没有最大限度考虑市民群众的需要，一些惠民演出、旅游景点优惠信息有公开不充分的问题；信息公开的渠道还需要进一步完善，丰富公开形式，提升公开效果。为此，2020年我局将继续坚持“公开为原则，不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为例外”的总体要求，提高局机关各处室的政府信息公开意识，加大培训力度，提高我局政府信息公开水平。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98908"/>
    <w:multiLevelType w:val="singleLevel"/>
    <w:tmpl w:val="E2C9890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7F10"/>
    <w:rsid w:val="040821D1"/>
    <w:rsid w:val="05215335"/>
    <w:rsid w:val="05FF3352"/>
    <w:rsid w:val="0615547A"/>
    <w:rsid w:val="06884CEB"/>
    <w:rsid w:val="06B60F58"/>
    <w:rsid w:val="0A25258C"/>
    <w:rsid w:val="0B845AFF"/>
    <w:rsid w:val="0CC15C6A"/>
    <w:rsid w:val="0E304D01"/>
    <w:rsid w:val="0EB3482C"/>
    <w:rsid w:val="0F5468D9"/>
    <w:rsid w:val="0FE356B3"/>
    <w:rsid w:val="133B6EC1"/>
    <w:rsid w:val="153B5EF8"/>
    <w:rsid w:val="1765107B"/>
    <w:rsid w:val="19B66AA8"/>
    <w:rsid w:val="1A914A9E"/>
    <w:rsid w:val="1B433259"/>
    <w:rsid w:val="1B4F2BC4"/>
    <w:rsid w:val="1D400056"/>
    <w:rsid w:val="1F2D2D00"/>
    <w:rsid w:val="20735C0B"/>
    <w:rsid w:val="22764391"/>
    <w:rsid w:val="23A36BBD"/>
    <w:rsid w:val="24741E8F"/>
    <w:rsid w:val="270066AF"/>
    <w:rsid w:val="28743945"/>
    <w:rsid w:val="28997667"/>
    <w:rsid w:val="289B7312"/>
    <w:rsid w:val="2D7308AE"/>
    <w:rsid w:val="30B80FFA"/>
    <w:rsid w:val="31286338"/>
    <w:rsid w:val="343C0884"/>
    <w:rsid w:val="34762AFF"/>
    <w:rsid w:val="35FD4BE5"/>
    <w:rsid w:val="382D5C08"/>
    <w:rsid w:val="3AB65587"/>
    <w:rsid w:val="40E07D73"/>
    <w:rsid w:val="42525F90"/>
    <w:rsid w:val="440C3BC5"/>
    <w:rsid w:val="48EE62FC"/>
    <w:rsid w:val="4AB36ED8"/>
    <w:rsid w:val="4E3C0D89"/>
    <w:rsid w:val="4EF55C8D"/>
    <w:rsid w:val="518C2151"/>
    <w:rsid w:val="51D07D82"/>
    <w:rsid w:val="589250B6"/>
    <w:rsid w:val="598A0C03"/>
    <w:rsid w:val="5E685E14"/>
    <w:rsid w:val="5F252AEB"/>
    <w:rsid w:val="5FF05CD3"/>
    <w:rsid w:val="602620D6"/>
    <w:rsid w:val="61E374D5"/>
    <w:rsid w:val="68AA2E1C"/>
    <w:rsid w:val="69106D78"/>
    <w:rsid w:val="695E7332"/>
    <w:rsid w:val="6C3F15B9"/>
    <w:rsid w:val="6D0E4A79"/>
    <w:rsid w:val="6D1063B1"/>
    <w:rsid w:val="6E091DB5"/>
    <w:rsid w:val="6E6A40F6"/>
    <w:rsid w:val="71A47DFA"/>
    <w:rsid w:val="722C469E"/>
    <w:rsid w:val="728078F5"/>
    <w:rsid w:val="73D30201"/>
    <w:rsid w:val="75327F10"/>
    <w:rsid w:val="774D74B5"/>
    <w:rsid w:val="77A65157"/>
    <w:rsid w:val="787C1C7F"/>
    <w:rsid w:val="79B9586A"/>
    <w:rsid w:val="7A45436C"/>
    <w:rsid w:val="7B5B27AF"/>
    <w:rsid w:val="7B62280A"/>
    <w:rsid w:val="7C5F1450"/>
    <w:rsid w:val="7C795121"/>
    <w:rsid w:val="7CC45189"/>
    <w:rsid w:val="7F2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2020-01-20T06:14:00Z</dcterms:created>
  <dc:creator>衡霖翔</dc:creator>
  <cp:lastModifiedBy>衡霖翔</cp:lastModifiedBy>
  <dcterms:modified xsi:type="dcterms:W3CDTF">2021-03-10T07:25:47Z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