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5" w:rsidRPr="00910558" w:rsidRDefault="00FB6335" w:rsidP="00910558">
      <w:pPr>
        <w:pStyle w:val="Heading2"/>
        <w:rPr>
          <w:rFonts w:ascii="黑体"/>
          <w:b w:val="0"/>
          <w:szCs w:val="32"/>
        </w:rPr>
      </w:pPr>
      <w:r w:rsidRPr="00910558">
        <w:rPr>
          <w:rFonts w:ascii="黑体" w:hAnsi="黑体" w:hint="eastAsia"/>
          <w:b w:val="0"/>
          <w:szCs w:val="32"/>
        </w:rPr>
        <w:t>附件</w:t>
      </w:r>
    </w:p>
    <w:p w:rsidR="00FB6335" w:rsidRPr="00910558" w:rsidRDefault="00FB6335" w:rsidP="00FD7E7E">
      <w:pPr>
        <w:pStyle w:val="Heading2"/>
        <w:spacing w:afterLines="50"/>
        <w:jc w:val="center"/>
        <w:rPr>
          <w:rFonts w:ascii="Times New Roman" w:eastAsia="方正小标宋_GBK" w:hAnsi="Times New Roman"/>
          <w:b w:val="0"/>
          <w:sz w:val="44"/>
          <w:szCs w:val="44"/>
        </w:rPr>
      </w:pPr>
      <w:r w:rsidRPr="00910558">
        <w:rPr>
          <w:rFonts w:ascii="Times New Roman" w:eastAsia="方正小标宋_GBK" w:hAnsi="Times New Roman" w:hint="eastAsia"/>
          <w:b w:val="0"/>
          <w:sz w:val="44"/>
          <w:szCs w:val="44"/>
        </w:rPr>
        <w:t>新增的</w:t>
      </w:r>
      <w:r w:rsidRPr="00910558">
        <w:rPr>
          <w:rFonts w:ascii="Times New Roman" w:eastAsia="方正小标宋_GBK" w:hAnsi="Times New Roman"/>
          <w:b w:val="0"/>
          <w:sz w:val="44"/>
          <w:szCs w:val="44"/>
        </w:rPr>
        <w:t>1</w:t>
      </w:r>
      <w:r>
        <w:rPr>
          <w:rFonts w:ascii="Times New Roman" w:eastAsia="方正小标宋_GBK" w:hAnsi="Times New Roman"/>
          <w:b w:val="0"/>
          <w:sz w:val="44"/>
          <w:szCs w:val="44"/>
        </w:rPr>
        <w:t>7</w:t>
      </w:r>
      <w:r w:rsidRPr="00910558">
        <w:rPr>
          <w:rFonts w:ascii="Times New Roman" w:eastAsia="方正小标宋_GBK" w:hAnsi="Times New Roman" w:hint="eastAsia"/>
          <w:b w:val="0"/>
          <w:sz w:val="44"/>
          <w:szCs w:val="44"/>
        </w:rPr>
        <w:t>个重特大疾病医疗保障门诊病种</w:t>
      </w:r>
    </w:p>
    <w:tbl>
      <w:tblPr>
        <w:tblW w:w="1386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5"/>
        <w:gridCol w:w="1176"/>
        <w:gridCol w:w="1555"/>
        <w:gridCol w:w="5214"/>
        <w:gridCol w:w="5364"/>
      </w:tblGrid>
      <w:tr w:rsidR="00FB6335" w:rsidRPr="00910558" w:rsidTr="00910558">
        <w:trPr>
          <w:trHeight w:val="441"/>
          <w:tblHeader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910558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宋体"/>
                <w:bCs/>
                <w:sz w:val="20"/>
                <w:szCs w:val="18"/>
              </w:rPr>
            </w:pPr>
            <w:r w:rsidRPr="00910558">
              <w:rPr>
                <w:rFonts w:ascii="黑体" w:eastAsia="黑体" w:hAnsi="黑体" w:cs="宋体" w:hint="eastAsia"/>
                <w:bCs/>
                <w:kern w:val="0"/>
                <w:sz w:val="20"/>
                <w:szCs w:val="18"/>
              </w:rPr>
              <w:t>序号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910558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宋体"/>
                <w:bCs/>
                <w:sz w:val="20"/>
                <w:szCs w:val="18"/>
              </w:rPr>
            </w:pPr>
            <w:r w:rsidRPr="00910558">
              <w:rPr>
                <w:rFonts w:ascii="黑体" w:eastAsia="黑体" w:hAnsi="黑体" w:cs="宋体" w:hint="eastAsia"/>
                <w:bCs/>
                <w:kern w:val="0"/>
                <w:sz w:val="20"/>
                <w:szCs w:val="18"/>
              </w:rPr>
              <w:t>病种名称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910558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宋体"/>
                <w:bCs/>
                <w:sz w:val="20"/>
                <w:szCs w:val="18"/>
              </w:rPr>
            </w:pPr>
            <w:r w:rsidRPr="00910558">
              <w:rPr>
                <w:rFonts w:ascii="黑体" w:eastAsia="黑体" w:hAnsi="黑体" w:cs="宋体" w:hint="eastAsia"/>
                <w:bCs/>
                <w:kern w:val="0"/>
                <w:sz w:val="20"/>
                <w:szCs w:val="18"/>
              </w:rPr>
              <w:t>治疗方法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910558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宋体"/>
                <w:bCs/>
                <w:sz w:val="20"/>
                <w:szCs w:val="18"/>
              </w:rPr>
            </w:pPr>
            <w:r w:rsidRPr="00910558">
              <w:rPr>
                <w:rFonts w:ascii="黑体" w:eastAsia="黑体" w:hAnsi="黑体" w:cs="宋体" w:hint="eastAsia"/>
                <w:bCs/>
                <w:kern w:val="0"/>
                <w:sz w:val="20"/>
                <w:szCs w:val="18"/>
              </w:rPr>
              <w:t>说</w:t>
            </w:r>
            <w:r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  <w:t xml:space="preserve">       </w:t>
            </w:r>
            <w:r w:rsidRPr="00910558">
              <w:rPr>
                <w:rFonts w:ascii="黑体" w:eastAsia="黑体" w:hAnsi="黑体" w:cs="宋体" w:hint="eastAsia"/>
                <w:bCs/>
                <w:kern w:val="0"/>
                <w:sz w:val="20"/>
                <w:szCs w:val="18"/>
              </w:rPr>
              <w:t>明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910558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宋体"/>
                <w:bCs/>
                <w:kern w:val="0"/>
                <w:sz w:val="20"/>
                <w:szCs w:val="18"/>
              </w:rPr>
            </w:pPr>
            <w:r w:rsidRPr="00910558">
              <w:rPr>
                <w:rFonts w:ascii="黑体" w:eastAsia="黑体" w:hAnsi="黑体" w:cs="宋体" w:hint="eastAsia"/>
                <w:bCs/>
                <w:kern w:val="0"/>
                <w:sz w:val="20"/>
                <w:szCs w:val="18"/>
              </w:rPr>
              <w:t>鉴定标准</w:t>
            </w:r>
          </w:p>
        </w:tc>
      </w:tr>
      <w:tr w:rsidR="00FB6335" w:rsidRPr="00D31394" w:rsidTr="00910558">
        <w:trPr>
          <w:trHeight w:val="450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1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HER2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阳性乳腺癌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门诊单克隆抗体药物治疗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限支付曲妥珠单抗费用，并符合以下情况方可支付：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1.HER2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阳性的乳腺癌手术后患者，支付不超过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12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个月。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2.HER2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阳性的转移性乳腺癌。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 w:rsidP="00AA3C9A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cs="宋体"/>
                <w:kern w:val="0"/>
                <w:sz w:val="20"/>
                <w:szCs w:val="18"/>
              </w:rPr>
              <w:t>1.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病理组织学确诊的乳腺癌；</w:t>
            </w:r>
          </w:p>
          <w:p w:rsidR="00FB6335" w:rsidRPr="00D31394" w:rsidRDefault="00FB6335" w:rsidP="00AA3C9A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cs="宋体"/>
                <w:kern w:val="0"/>
                <w:sz w:val="20"/>
                <w:szCs w:val="18"/>
              </w:rPr>
              <w:t>2.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免疫组化报告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HER</w:t>
            </w:r>
            <w:r w:rsidRPr="00D31394">
              <w:rPr>
                <w:rFonts w:ascii="宋体" w:cs="宋体"/>
                <w:kern w:val="0"/>
                <w:sz w:val="20"/>
                <w:szCs w:val="18"/>
              </w:rPr>
              <w:t>-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2 3+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或荧光原位杂交（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FISH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）检测基因扩增。</w:t>
            </w:r>
          </w:p>
        </w:tc>
      </w:tr>
      <w:tr w:rsidR="00FB6335" w:rsidRPr="00D31394" w:rsidTr="00910558">
        <w:trPr>
          <w:trHeight w:val="45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rPr>
                <w:rFonts w:ascii="宋体" w:cs="宋体"/>
                <w:sz w:val="20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rPr>
                <w:rFonts w:ascii="宋体" w:cs="宋体"/>
                <w:sz w:val="20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门诊蛋白激酶抑制剂药物治疗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限支付拉帕替尼费用，并符合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HER2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过表达且既往接受过包括蒽环类、紫杉醇、曲妥珠单抗治疗的晚期或转移性乳腺癌。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 w:rsidP="00A46588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cs="宋体"/>
                <w:kern w:val="0"/>
                <w:sz w:val="20"/>
                <w:szCs w:val="18"/>
              </w:rPr>
              <w:t>1.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病理组织学确诊的乳腺癌；</w:t>
            </w:r>
          </w:p>
          <w:p w:rsidR="00FB6335" w:rsidRPr="00D31394" w:rsidRDefault="00FB6335" w:rsidP="00A46588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cs="宋体"/>
                <w:kern w:val="0"/>
                <w:sz w:val="20"/>
                <w:szCs w:val="18"/>
              </w:rPr>
              <w:t>2.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免疫组化报告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HER</w:t>
            </w:r>
            <w:r w:rsidRPr="00D31394">
              <w:rPr>
                <w:rFonts w:ascii="宋体" w:cs="宋体"/>
                <w:kern w:val="0"/>
                <w:sz w:val="20"/>
                <w:szCs w:val="18"/>
              </w:rPr>
              <w:t>-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2 3+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或荧光原位杂交（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FISH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）检测基因扩增；</w:t>
            </w:r>
          </w:p>
          <w:p w:rsidR="00FB6335" w:rsidRPr="00D31394" w:rsidRDefault="00FB6335" w:rsidP="00F336B9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3</w:t>
            </w:r>
            <w:r w:rsidRPr="00D31394">
              <w:rPr>
                <w:rFonts w:ascii="宋体" w:cs="宋体"/>
                <w:kern w:val="0"/>
                <w:sz w:val="20"/>
                <w:szCs w:val="18"/>
              </w:rPr>
              <w:t>.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既往使用过曲妥珠单抗。</w:t>
            </w:r>
          </w:p>
        </w:tc>
      </w:tr>
      <w:tr w:rsidR="00FB6335" w:rsidRPr="00D31394" w:rsidTr="00910558">
        <w:trPr>
          <w:trHeight w:val="285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rPr>
                <w:rFonts w:ascii="宋体" w:cs="宋体"/>
                <w:sz w:val="20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rPr>
                <w:rFonts w:ascii="宋体" w:cs="宋体"/>
                <w:sz w:val="20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门诊内分泌治疗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限支付氟维司群费用，芳香化酶抑制剂治疗失败后的晚期、激素受体（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ER/PR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）阳性乳腺癌治疗。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cs="宋体"/>
                <w:kern w:val="0"/>
                <w:sz w:val="20"/>
                <w:szCs w:val="18"/>
              </w:rPr>
              <w:t>1.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病理组织学确诊的乳腺癌；</w:t>
            </w:r>
          </w:p>
          <w:p w:rsidR="00FB6335" w:rsidRPr="00D31394" w:rsidRDefault="00FB6335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cs="宋体"/>
                <w:kern w:val="0"/>
                <w:sz w:val="20"/>
                <w:szCs w:val="18"/>
              </w:rPr>
              <w:t>2.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免疫组化报告</w:t>
            </w:r>
            <w:r w:rsidRPr="00D31394">
              <w:rPr>
                <w:rFonts w:ascii="宋体" w:cs="宋体"/>
                <w:kern w:val="0"/>
                <w:sz w:val="20"/>
                <w:szCs w:val="18"/>
              </w:rPr>
              <w:t>ER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＞</w:t>
            </w:r>
            <w:r w:rsidRPr="00D31394">
              <w:rPr>
                <w:rFonts w:ascii="宋体" w:cs="宋体"/>
                <w:kern w:val="0"/>
                <w:sz w:val="20"/>
                <w:szCs w:val="18"/>
              </w:rPr>
              <w:t>1%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阳性和、或</w:t>
            </w:r>
            <w:r w:rsidRPr="00D31394">
              <w:rPr>
                <w:rFonts w:ascii="宋体" w:cs="宋体"/>
                <w:kern w:val="0"/>
                <w:sz w:val="20"/>
                <w:szCs w:val="18"/>
              </w:rPr>
              <w:t>PR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＞</w:t>
            </w:r>
            <w:r w:rsidRPr="00D31394">
              <w:rPr>
                <w:rFonts w:ascii="宋体" w:cs="宋体"/>
                <w:kern w:val="0"/>
                <w:sz w:val="20"/>
                <w:szCs w:val="18"/>
              </w:rPr>
              <w:t>1%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阳性；</w:t>
            </w:r>
          </w:p>
          <w:p w:rsidR="00FB6335" w:rsidRPr="00D31394" w:rsidRDefault="00FB6335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cs="宋体"/>
                <w:kern w:val="0"/>
                <w:sz w:val="20"/>
                <w:szCs w:val="18"/>
              </w:rPr>
              <w:t>3.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芳香化酶抑制剂治疗失败后的晚期乳腺癌</w:t>
            </w: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。</w:t>
            </w:r>
          </w:p>
        </w:tc>
      </w:tr>
      <w:tr w:rsidR="00FB6335" w:rsidRPr="00D31394" w:rsidTr="00910558">
        <w:trPr>
          <w:trHeight w:val="285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2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晚期胃癌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门诊单克隆抗体药物治疗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限支付曲妥珠单抗费用，并符合以下情况方可支付：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HER2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阳性的晚期转移性胃癌。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 w:rsidP="00A46588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cs="宋体"/>
                <w:kern w:val="0"/>
                <w:sz w:val="20"/>
                <w:szCs w:val="18"/>
              </w:rPr>
              <w:t>1.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病理组织学确诊的胃癌；</w:t>
            </w:r>
          </w:p>
          <w:p w:rsidR="00FB6335" w:rsidRPr="00D31394" w:rsidRDefault="00FB6335" w:rsidP="00A46588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D31394">
              <w:rPr>
                <w:rFonts w:ascii="宋体" w:cs="宋体"/>
                <w:kern w:val="0"/>
                <w:sz w:val="20"/>
                <w:szCs w:val="18"/>
              </w:rPr>
              <w:t>2.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免疫组化报告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HER</w:t>
            </w:r>
            <w:r w:rsidRPr="00D31394">
              <w:rPr>
                <w:rFonts w:ascii="宋体" w:cs="宋体"/>
                <w:kern w:val="0"/>
                <w:sz w:val="20"/>
                <w:szCs w:val="18"/>
              </w:rPr>
              <w:t>-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2 3+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或荧光原位杂交（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FISH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）检测基因扩增。</w:t>
            </w:r>
            <w:r w:rsidRPr="000A5BC3"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  <w:t>3.</w:t>
            </w:r>
            <w:r w:rsidRPr="000A5BC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影像学证实为晚期胃癌。</w:t>
            </w:r>
          </w:p>
        </w:tc>
      </w:tr>
      <w:tr w:rsidR="00FB6335" w:rsidRPr="00D31394" w:rsidTr="00910558">
        <w:trPr>
          <w:trHeight w:val="45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rPr>
                <w:rFonts w:ascii="宋体" w:cs="宋体"/>
                <w:sz w:val="20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rPr>
                <w:rFonts w:ascii="宋体" w:cs="宋体"/>
                <w:sz w:val="20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门诊蛋白激酶抑制剂药物治疗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限支付阿帕替尼费用，既往至少接受过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2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种系统化疗后进展或复发的晚期胃腺癌或胃</w:t>
            </w:r>
            <w:r w:rsidRPr="00D31394">
              <w:rPr>
                <w:rFonts w:ascii="宋体" w:cs="宋体"/>
                <w:kern w:val="0"/>
                <w:sz w:val="20"/>
                <w:szCs w:val="18"/>
              </w:rPr>
              <w:t>-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食管结合部腺癌患者。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 w:rsidP="0035598B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D31394">
              <w:rPr>
                <w:rFonts w:ascii="宋体" w:cs="宋体"/>
                <w:kern w:val="0"/>
                <w:sz w:val="20"/>
                <w:szCs w:val="18"/>
              </w:rPr>
              <w:t>1.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病理组织学确诊的</w:t>
            </w:r>
            <w:r w:rsidRPr="00D31394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晚期胃腺癌或胃</w:t>
            </w:r>
            <w:r w:rsidRPr="00D31394">
              <w:rPr>
                <w:rFonts w:ascii="宋体" w:cs="宋体"/>
                <w:color w:val="000000"/>
                <w:kern w:val="0"/>
                <w:sz w:val="20"/>
                <w:szCs w:val="18"/>
              </w:rPr>
              <w:t>-</w:t>
            </w:r>
            <w:r w:rsidRPr="00D31394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食管结合部腺癌；</w:t>
            </w:r>
          </w:p>
          <w:p w:rsidR="00FB6335" w:rsidRPr="00D31394" w:rsidRDefault="00FB6335" w:rsidP="0035598B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  <w:t>2.</w:t>
            </w:r>
            <w:r w:rsidRPr="00D31394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既往接受过</w:t>
            </w:r>
            <w:r w:rsidRPr="00D31394"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  <w:t>2</w:t>
            </w:r>
            <w:r w:rsidRPr="00D31394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种</w:t>
            </w:r>
            <w:r w:rsidRPr="000A5BC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或以上</w:t>
            </w:r>
            <w:r w:rsidRPr="00D31394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系统化疗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；</w:t>
            </w:r>
          </w:p>
          <w:p w:rsidR="00FB6335" w:rsidRPr="00D31394" w:rsidRDefault="00FB6335" w:rsidP="0035598B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  <w:t>3.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患者接受治疗时应一般状态良好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LPS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≤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2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分。</w:t>
            </w:r>
          </w:p>
        </w:tc>
      </w:tr>
      <w:tr w:rsidR="00FB6335" w:rsidRPr="00D31394" w:rsidTr="00910558">
        <w:trPr>
          <w:trHeight w:val="28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Ⅲ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/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Ⅳ期鼻咽癌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门诊单克隆抗体药物治疗联合放疗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限支付尼妥珠单抗与放疗费用，</w:t>
            </w:r>
            <w:r w:rsidRPr="00D31394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表皮生长因子受体</w:t>
            </w:r>
            <w:r w:rsidRPr="00D31394"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  <w:t>(EGFR)</w:t>
            </w:r>
            <w:r w:rsidRPr="00D31394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表达阳性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的Ⅲ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/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Ⅳ期鼻咽癌。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 w:rsidP="00647482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1.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病理组织学确诊的鼻咽非角化鳞状细胞癌；</w:t>
            </w:r>
          </w:p>
          <w:p w:rsidR="00FB6335" w:rsidRPr="00D31394" w:rsidRDefault="00FB6335" w:rsidP="00647482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  <w:t>2.</w:t>
            </w:r>
            <w:r w:rsidRPr="00D31394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表皮生长因子受体</w:t>
            </w:r>
            <w:r w:rsidRPr="00D31394"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  <w:t>(EGFR)</w:t>
            </w:r>
            <w:r w:rsidRPr="00D31394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表达阳性；</w:t>
            </w:r>
          </w:p>
          <w:p w:rsidR="00FB6335" w:rsidRPr="00D31394" w:rsidRDefault="00FB6335" w:rsidP="0035598B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cs="宋体"/>
                <w:kern w:val="0"/>
                <w:sz w:val="20"/>
                <w:szCs w:val="18"/>
              </w:rPr>
              <w:t>3.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临床分期采用</w:t>
            </w:r>
            <w:r w:rsidRPr="00D31394">
              <w:rPr>
                <w:rFonts w:ascii="宋体" w:cs="宋体"/>
                <w:kern w:val="0"/>
                <w:sz w:val="20"/>
                <w:szCs w:val="18"/>
              </w:rPr>
              <w:t>UICC/AJCC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第八版分期标准达到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Ⅲ至Ⅳ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期</w:t>
            </w:r>
            <w:r w:rsidRPr="00D31394">
              <w:rPr>
                <w:rFonts w:ascii="宋体" w:cs="宋体"/>
                <w:kern w:val="0"/>
                <w:sz w:val="20"/>
                <w:szCs w:val="18"/>
              </w:rPr>
              <w:t>(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结合鼻咽磁共振、胸部</w:t>
            </w:r>
            <w:r w:rsidRPr="00D31394">
              <w:rPr>
                <w:rFonts w:ascii="宋体" w:cs="宋体"/>
                <w:kern w:val="0"/>
                <w:sz w:val="20"/>
                <w:szCs w:val="18"/>
              </w:rPr>
              <w:t>CT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、腹部彩超、全身显像等检查结果。</w:t>
            </w:r>
            <w:r w:rsidRPr="00D31394">
              <w:rPr>
                <w:rFonts w:ascii="宋体" w:cs="宋体"/>
                <w:kern w:val="0"/>
                <w:sz w:val="20"/>
                <w:szCs w:val="18"/>
              </w:rPr>
              <w:t>)</w:t>
            </w:r>
          </w:p>
        </w:tc>
      </w:tr>
      <w:tr w:rsidR="00FB6335" w:rsidRPr="00D31394" w:rsidTr="00910558">
        <w:trPr>
          <w:trHeight w:val="79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外周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T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细胞淋巴瘤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门诊西达本胺药物治疗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限支付西达本胺费用，既往至少接受过一次全身化疗的复发或难治的外周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T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细胞淋巴瘤（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PTCL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）患者。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 w:rsidP="0035598B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cs="宋体"/>
                <w:kern w:val="0"/>
                <w:sz w:val="20"/>
                <w:szCs w:val="18"/>
              </w:rPr>
              <w:t>1.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确诊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外周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T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细胞淋巴瘤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的相关检查；</w:t>
            </w:r>
          </w:p>
          <w:p w:rsidR="00FB6335" w:rsidRPr="00D31394" w:rsidRDefault="00FB6335" w:rsidP="0035598B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cs="宋体"/>
                <w:kern w:val="0"/>
                <w:sz w:val="20"/>
                <w:szCs w:val="18"/>
              </w:rPr>
              <w:t>2.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既往至少接受过一次全身化疗。</w:t>
            </w:r>
          </w:p>
        </w:tc>
      </w:tr>
      <w:tr w:rsidR="00FB6335" w:rsidRPr="00D31394" w:rsidTr="00910558">
        <w:trPr>
          <w:trHeight w:val="1014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5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晚期肾癌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门诊蛋白激酶抑制剂药物治疗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限支付索拉菲尼费用，并符合以下情况：不能手术的肾细胞癌。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cs="宋体"/>
                <w:kern w:val="0"/>
                <w:sz w:val="20"/>
                <w:szCs w:val="18"/>
              </w:rPr>
              <w:t>1.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根据病史、体征、结合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线摄片、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超、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CT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MRI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等辅助检查明确诊断为肾细胞癌的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；</w:t>
            </w:r>
          </w:p>
          <w:p w:rsidR="00FB6335" w:rsidRPr="00D31394" w:rsidRDefault="00FB6335" w:rsidP="00F66C07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cs="宋体"/>
                <w:kern w:val="0"/>
                <w:sz w:val="20"/>
                <w:szCs w:val="18"/>
              </w:rPr>
              <w:t>2.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不能手术的肾癌（诊断证明、影像学检查报告单）</w:t>
            </w:r>
          </w:p>
        </w:tc>
      </w:tr>
      <w:tr w:rsidR="00FB6335" w:rsidRPr="00D31394" w:rsidTr="00910558">
        <w:trPr>
          <w:trHeight w:val="1371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rPr>
                <w:rFonts w:ascii="宋体" w:cs="宋体"/>
                <w:sz w:val="20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rPr>
                <w:rFonts w:ascii="宋体" w:cs="宋体"/>
                <w:sz w:val="20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门诊免疫抑制剂药物治疗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限支付依维莫司费用，并符合以下情况：接受</w:t>
            </w:r>
            <w:r w:rsidRPr="00D31394">
              <w:rPr>
                <w:rStyle w:val="font01"/>
                <w:rFonts w:hint="eastAsia"/>
                <w:color w:val="auto"/>
                <w:sz w:val="20"/>
              </w:rPr>
              <w:t>舒尼替尼</w:t>
            </w:r>
            <w:r w:rsidRPr="00D31394">
              <w:rPr>
                <w:rStyle w:val="font21"/>
                <w:rFonts w:hint="eastAsia"/>
                <w:color w:val="auto"/>
                <w:sz w:val="20"/>
              </w:rPr>
              <w:t>或索拉非尼治疗失败的晚期肾细胞癌成人患者。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 w:rsidP="006017BF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cs="宋体"/>
                <w:kern w:val="0"/>
                <w:sz w:val="20"/>
                <w:szCs w:val="18"/>
              </w:rPr>
              <w:t>1.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根据病史、体征、结合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线摄片、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超、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CT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MRI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等辅助检查明确诊断为肾细胞癌的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；</w:t>
            </w:r>
          </w:p>
          <w:p w:rsidR="00FB6335" w:rsidRPr="00D31394" w:rsidRDefault="00FB6335" w:rsidP="00F66C07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cs="宋体"/>
                <w:kern w:val="0"/>
                <w:sz w:val="20"/>
                <w:szCs w:val="18"/>
              </w:rPr>
              <w:t>2.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不能手术的肾癌；</w:t>
            </w:r>
          </w:p>
          <w:p w:rsidR="00FB6335" w:rsidRPr="00D31394" w:rsidRDefault="00FB6335" w:rsidP="00F66C07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color w:val="auto"/>
                <w:sz w:val="20"/>
              </w:rPr>
            </w:pPr>
            <w:r w:rsidRPr="00D31394">
              <w:rPr>
                <w:rFonts w:ascii="宋体" w:cs="宋体"/>
                <w:kern w:val="0"/>
                <w:sz w:val="20"/>
                <w:szCs w:val="18"/>
              </w:rPr>
              <w:t>3.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接受过</w:t>
            </w:r>
            <w:r w:rsidRPr="00D31394">
              <w:rPr>
                <w:rStyle w:val="font01"/>
                <w:rFonts w:hint="eastAsia"/>
                <w:color w:val="auto"/>
                <w:sz w:val="20"/>
              </w:rPr>
              <w:t>舒尼替尼</w:t>
            </w:r>
            <w:r w:rsidRPr="00D31394">
              <w:rPr>
                <w:rStyle w:val="font21"/>
                <w:rFonts w:hint="eastAsia"/>
                <w:color w:val="auto"/>
                <w:sz w:val="20"/>
              </w:rPr>
              <w:t>或索拉非尼治疗；</w:t>
            </w:r>
          </w:p>
          <w:p w:rsidR="00FB6335" w:rsidRPr="00D31394" w:rsidRDefault="00FB6335" w:rsidP="00F66C07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Style w:val="font21"/>
                <w:color w:val="auto"/>
                <w:sz w:val="20"/>
              </w:rPr>
              <w:t>4</w:t>
            </w:r>
            <w:r w:rsidRPr="00D31394">
              <w:rPr>
                <w:rFonts w:ascii="宋体" w:cs="宋体"/>
                <w:kern w:val="0"/>
                <w:sz w:val="20"/>
                <w:szCs w:val="18"/>
              </w:rPr>
              <w:t>.</w:t>
            </w:r>
            <w:r w:rsidRPr="00D31394">
              <w:rPr>
                <w:rStyle w:val="font21"/>
                <w:rFonts w:hint="eastAsia"/>
                <w:color w:val="auto"/>
                <w:sz w:val="20"/>
              </w:rPr>
              <w:t>成人患者。</w:t>
            </w:r>
          </w:p>
        </w:tc>
      </w:tr>
      <w:tr w:rsidR="00FB6335" w:rsidRPr="00D31394" w:rsidTr="00910558">
        <w:trPr>
          <w:trHeight w:val="134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胰腺神经内分泌瘤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门诊免疫抑制剂药物治疗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限支付依维莫司费用，并符合以下情况：不可切除的、局部晚期或转移性的、分化良好的（中度分化或高度分化）进展期</w:t>
            </w:r>
            <w:r w:rsidRPr="00D31394">
              <w:rPr>
                <w:rStyle w:val="font01"/>
                <w:rFonts w:hint="eastAsia"/>
                <w:color w:val="auto"/>
                <w:sz w:val="20"/>
              </w:rPr>
              <w:t>胰腺神经内分泌瘤</w:t>
            </w:r>
            <w:r w:rsidRPr="00D31394">
              <w:rPr>
                <w:rStyle w:val="font21"/>
                <w:rFonts w:hint="eastAsia"/>
                <w:color w:val="auto"/>
                <w:sz w:val="20"/>
              </w:rPr>
              <w:t>成人患者。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 w:rsidP="0035598B">
            <w:pPr>
              <w:widowControl/>
              <w:spacing w:line="300" w:lineRule="exact"/>
              <w:jc w:val="left"/>
              <w:textAlignment w:val="center"/>
              <w:rPr>
                <w:rStyle w:val="font01"/>
                <w:rFonts w:hAnsi="Calibri"/>
                <w:color w:val="auto"/>
                <w:sz w:val="20"/>
              </w:rPr>
            </w:pPr>
            <w:r w:rsidRPr="00D31394">
              <w:rPr>
                <w:rFonts w:ascii="宋体" w:cs="宋体"/>
                <w:kern w:val="0"/>
                <w:sz w:val="20"/>
                <w:szCs w:val="18"/>
              </w:rPr>
              <w:t>1.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病理组织学确诊的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分化良好的（中度分化或高度分化）进展期</w:t>
            </w:r>
            <w:r w:rsidRPr="00D31394">
              <w:rPr>
                <w:rStyle w:val="font01"/>
                <w:rFonts w:hint="eastAsia"/>
                <w:color w:val="auto"/>
                <w:sz w:val="20"/>
              </w:rPr>
              <w:t>胰腺神经内分泌瘤；</w:t>
            </w:r>
          </w:p>
          <w:p w:rsidR="00FB6335" w:rsidRPr="00D31394" w:rsidRDefault="00FB6335" w:rsidP="0035598B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Style w:val="font01"/>
                <w:color w:val="auto"/>
                <w:sz w:val="20"/>
              </w:rPr>
              <w:t>2.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不可切除的、局部晚期或转移性的胰腺神经内分泌瘤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；</w:t>
            </w:r>
          </w:p>
          <w:p w:rsidR="00FB6335" w:rsidRPr="00D31394" w:rsidRDefault="00FB6335" w:rsidP="0035598B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3.</w:t>
            </w:r>
            <w:r w:rsidRPr="00D31394">
              <w:rPr>
                <w:rStyle w:val="font21"/>
                <w:rFonts w:hint="eastAsia"/>
                <w:color w:val="auto"/>
                <w:sz w:val="20"/>
              </w:rPr>
              <w:t>成人患者。</w:t>
            </w:r>
          </w:p>
        </w:tc>
      </w:tr>
      <w:tr w:rsidR="00FB6335" w:rsidRPr="00D31394" w:rsidTr="00910558">
        <w:trPr>
          <w:trHeight w:val="101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肾血管平滑肌脂肪瘤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门诊免疫抑制剂药物治疗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限支付依维莫司费用，并符合以下情况：不需立即手术治疗的结节性硬化症相关的肾血管平滑肌脂肪瘤（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TSC-AML)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成人患者。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 w:rsidP="0035598B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cs="宋体"/>
                <w:kern w:val="0"/>
                <w:sz w:val="20"/>
                <w:szCs w:val="18"/>
              </w:rPr>
              <w:t>1.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基因诊断加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CT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或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MRI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显示为血管平滑肌脂肪瘤；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 xml:space="preserve"> 2.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结节性硬化症合并肾血管平滑肌脂肪瘤；</w:t>
            </w:r>
          </w:p>
          <w:p w:rsidR="00FB6335" w:rsidRPr="00D31394" w:rsidRDefault="00FB6335" w:rsidP="0035598B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3.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不需立即手术的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肾血管平滑肌脂肪瘤</w:t>
            </w: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。</w:t>
            </w:r>
            <w:r w:rsidRPr="00D31394">
              <w:rPr>
                <w:rFonts w:ascii="宋体" w:cs="宋体"/>
                <w:kern w:val="0"/>
                <w:sz w:val="20"/>
                <w:szCs w:val="18"/>
              </w:rPr>
              <w:t xml:space="preserve"> </w:t>
            </w:r>
          </w:p>
        </w:tc>
      </w:tr>
      <w:tr w:rsidR="00FB6335" w:rsidRPr="00D31394" w:rsidTr="00910558">
        <w:trPr>
          <w:trHeight w:val="209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肝癌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门诊蛋白激酶抑制剂药物治疗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限支付索拉非尼费用，不能手术或远处转移的肝细胞癌。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5347AD" w:rsidRDefault="00FB6335" w:rsidP="006017BF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FF0000"/>
                <w:kern w:val="0"/>
                <w:sz w:val="20"/>
                <w:szCs w:val="18"/>
              </w:rPr>
            </w:pPr>
            <w:r w:rsidRPr="00D31394">
              <w:rPr>
                <w:rFonts w:ascii="宋体" w:cs="宋体"/>
                <w:kern w:val="0"/>
                <w:sz w:val="20"/>
                <w:szCs w:val="18"/>
              </w:rPr>
              <w:t>1.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病理组织学确诊的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肝细胞癌；</w:t>
            </w:r>
            <w:r w:rsidRPr="000A5BC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或同时符合以下三条，可临床诊断为肝癌：（</w:t>
            </w:r>
            <w:r w:rsidRPr="000A5BC3"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  <w:t>1</w:t>
            </w:r>
            <w:r w:rsidRPr="000A5BC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）既往慢性乙肝或丙型肝炎病史</w:t>
            </w:r>
            <w:r w:rsidRPr="000A5BC3"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  <w:t xml:space="preserve"> </w:t>
            </w:r>
            <w:r w:rsidRPr="000A5BC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（</w:t>
            </w:r>
            <w:r w:rsidRPr="000A5BC3"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  <w:t>2</w:t>
            </w:r>
            <w:r w:rsidRPr="000A5BC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  <w:r w:rsidRPr="000A5BC3"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  <w:t>CT</w:t>
            </w:r>
            <w:r w:rsidRPr="000A5BC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或</w:t>
            </w:r>
            <w:r w:rsidRPr="000A5BC3"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  <w:t>MRI</w:t>
            </w:r>
            <w:r w:rsidRPr="000A5BC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符合典型原发性肝癌征象</w:t>
            </w:r>
            <w:r w:rsidRPr="000A5BC3"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  <w:t xml:space="preserve"> </w:t>
            </w:r>
            <w:r w:rsidRPr="000A5BC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（</w:t>
            </w:r>
            <w:r w:rsidRPr="000A5BC3"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  <w:t>3</w:t>
            </w:r>
            <w:r w:rsidRPr="000A5BC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）</w:t>
            </w:r>
            <w:r w:rsidRPr="000A5BC3"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  <w:t>AFP</w:t>
            </w:r>
            <w:r w:rsidRPr="000A5BC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增高大于等于</w:t>
            </w:r>
            <w:r w:rsidRPr="000A5BC3"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  <w:t>400ng/ml</w:t>
            </w:r>
            <w:r w:rsidRPr="000A5BC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，持续</w:t>
            </w:r>
            <w:r w:rsidRPr="000A5BC3"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  <w:t>2</w:t>
            </w:r>
            <w:r w:rsidRPr="000A5BC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月以上，排除生殖系统肿瘤。</w:t>
            </w:r>
          </w:p>
          <w:p w:rsidR="00FB6335" w:rsidRPr="00D31394" w:rsidRDefault="00FB6335" w:rsidP="006017BF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2.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无法手术或远处转移；</w:t>
            </w:r>
          </w:p>
          <w:p w:rsidR="00FB6335" w:rsidRPr="00D31394" w:rsidRDefault="00FB6335" w:rsidP="006017BF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3.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患者肝功能良好（肝功能报告单），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child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分级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A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或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B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。</w:t>
            </w:r>
          </w:p>
        </w:tc>
      </w:tr>
      <w:tr w:rsidR="00FB6335" w:rsidRPr="00D31394" w:rsidTr="00307514">
        <w:trPr>
          <w:trHeight w:val="152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甲状腺癌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门诊蛋白激酶抑制剂药物治疗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限支付索拉非尼费用，放射性碘治疗无</w:t>
            </w:r>
            <w:bookmarkStart w:id="0" w:name="_GoBack"/>
            <w:bookmarkEnd w:id="0"/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效的局部复发或转移性、分化型甲状腺癌。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0A5BC3" w:rsidRDefault="00FB6335" w:rsidP="00C338A2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 w:rsidRPr="000A5BC3">
              <w:rPr>
                <w:rFonts w:ascii="宋体" w:cs="宋体"/>
                <w:color w:val="000000"/>
                <w:kern w:val="0"/>
                <w:sz w:val="20"/>
                <w:szCs w:val="18"/>
              </w:rPr>
              <w:t>1.</w:t>
            </w:r>
            <w:r w:rsidRPr="000A5BC3"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病理组织学确诊的进展性的放射性碘难治性分化型甲状腺癌；</w:t>
            </w:r>
          </w:p>
          <w:p w:rsidR="00FB6335" w:rsidRPr="00540B0A" w:rsidRDefault="00FB6335" w:rsidP="00C338A2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FF0000"/>
                <w:kern w:val="0"/>
                <w:sz w:val="20"/>
                <w:szCs w:val="18"/>
              </w:rPr>
            </w:pPr>
            <w:r w:rsidRPr="000A5BC3">
              <w:rPr>
                <w:rFonts w:ascii="宋体" w:cs="宋体"/>
                <w:color w:val="000000"/>
                <w:kern w:val="0"/>
                <w:sz w:val="20"/>
                <w:szCs w:val="18"/>
              </w:rPr>
              <w:t>2.</w:t>
            </w:r>
            <w:r w:rsidRPr="000A5BC3"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满足</w:t>
            </w:r>
            <w:r w:rsidRPr="000A5BC3">
              <w:rPr>
                <w:rFonts w:ascii="宋体" w:cs="宋体"/>
                <w:color w:val="000000"/>
                <w:kern w:val="0"/>
                <w:sz w:val="20"/>
                <w:szCs w:val="18"/>
              </w:rPr>
              <w:t>14</w:t>
            </w:r>
            <w:r w:rsidRPr="000A5BC3"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个月内疾病进展，以</w:t>
            </w:r>
            <w:r w:rsidRPr="000A5BC3">
              <w:rPr>
                <w:rFonts w:ascii="宋体" w:cs="宋体"/>
                <w:color w:val="000000"/>
                <w:kern w:val="0"/>
                <w:sz w:val="20"/>
                <w:szCs w:val="18"/>
              </w:rPr>
              <w:t>RECIST V1.1</w:t>
            </w:r>
            <w:r w:rsidRPr="000A5BC3"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为标准，满足以下三条之一即可定义为疾病进展：①靶病灶长径总和增加≥</w:t>
            </w:r>
            <w:r w:rsidRPr="000A5BC3">
              <w:rPr>
                <w:rFonts w:ascii="宋体" w:cs="宋体"/>
                <w:color w:val="000000"/>
                <w:kern w:val="0"/>
                <w:sz w:val="20"/>
                <w:szCs w:val="18"/>
              </w:rPr>
              <w:t>20%</w:t>
            </w:r>
            <w:r w:rsidRPr="000A5BC3"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；②病灶长径绝对值增加≥</w:t>
            </w:r>
            <w:r w:rsidRPr="000A5BC3">
              <w:rPr>
                <w:rFonts w:ascii="宋体" w:cs="宋体"/>
                <w:color w:val="000000"/>
                <w:kern w:val="0"/>
                <w:sz w:val="20"/>
                <w:szCs w:val="18"/>
              </w:rPr>
              <w:t>5mm</w:t>
            </w:r>
            <w:r w:rsidRPr="000A5BC3"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；③出现新病灶。</w:t>
            </w:r>
          </w:p>
        </w:tc>
      </w:tr>
      <w:tr w:rsidR="00FB6335" w:rsidRPr="00D31394" w:rsidTr="00910558">
        <w:trPr>
          <w:trHeight w:val="14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多发性骨髓瘤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门诊免疫抑制剂药物治疗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限支付来那度胺费用。限曾接受过至少一种疗法的多发性骨髓瘤的成年患者，并满足以下条件：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1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、每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2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个疗程需提供治疗有效的证据后方可继续支付；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2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、由三级医院血液专科或血液专科医院医师处方；</w:t>
            </w: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3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、与硼替佐米联合使用不予支付。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cs="宋体"/>
                <w:kern w:val="0"/>
                <w:sz w:val="20"/>
                <w:szCs w:val="18"/>
              </w:rPr>
              <w:t>1</w:t>
            </w:r>
            <w:r w:rsidRPr="007E4B7B">
              <w:rPr>
                <w:rFonts w:ascii="宋体" w:cs="宋体"/>
                <w:kern w:val="0"/>
                <w:sz w:val="20"/>
                <w:szCs w:val="18"/>
              </w:rPr>
              <w:t>.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依据骨髓细胞形态学、免疫固定电泳、蛋白电泳等</w:t>
            </w:r>
            <w:r w:rsidRPr="00D31394">
              <w:rPr>
                <w:rFonts w:ascii="宋体" w:cs="宋体"/>
                <w:kern w:val="0"/>
                <w:sz w:val="20"/>
                <w:szCs w:val="18"/>
              </w:rPr>
              <w:t>.</w:t>
            </w:r>
            <w:r w:rsidRPr="00D31394">
              <w:rPr>
                <w:rFonts w:ascii="宋体" w:cs="宋体" w:hint="eastAsia"/>
                <w:kern w:val="0"/>
                <w:sz w:val="20"/>
                <w:szCs w:val="18"/>
              </w:rPr>
              <w:t>确诊的多发骨髓瘤；</w:t>
            </w:r>
          </w:p>
          <w:p w:rsidR="00FB6335" w:rsidRPr="00D31394" w:rsidRDefault="00FB6335" w:rsidP="00F66C07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D31394">
              <w:rPr>
                <w:rFonts w:ascii="宋体" w:cs="宋体"/>
                <w:kern w:val="0"/>
                <w:sz w:val="20"/>
                <w:szCs w:val="18"/>
              </w:rPr>
              <w:t>2.</w:t>
            </w: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曾接受过至少一种疗法。</w:t>
            </w:r>
          </w:p>
        </w:tc>
      </w:tr>
      <w:tr w:rsidR="00FB6335" w:rsidRPr="00D31394" w:rsidTr="00307514">
        <w:trPr>
          <w:trHeight w:val="214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/>
                <w:kern w:val="0"/>
                <w:sz w:val="20"/>
                <w:szCs w:val="18"/>
              </w:rPr>
              <w:t>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前列腺癌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门诊激素拮抗剂及相关药物治疗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D31394" w:rsidRDefault="00FB6335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sz w:val="20"/>
                <w:szCs w:val="18"/>
              </w:rPr>
            </w:pPr>
            <w:r w:rsidRPr="00D31394">
              <w:rPr>
                <w:rFonts w:ascii="宋体" w:hAnsi="宋体" w:cs="宋体" w:hint="eastAsia"/>
                <w:kern w:val="0"/>
                <w:sz w:val="20"/>
                <w:szCs w:val="18"/>
              </w:rPr>
              <w:t>限支付阿比特龙费用，转移性去势抵抗性前列腺癌。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7E4B7B" w:rsidRDefault="00FB6335" w:rsidP="00EC2047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7E4B7B">
              <w:rPr>
                <w:rFonts w:ascii="宋体" w:cs="宋体"/>
                <w:kern w:val="0"/>
                <w:sz w:val="20"/>
                <w:szCs w:val="18"/>
              </w:rPr>
              <w:t>1.</w:t>
            </w:r>
            <w:r w:rsidRPr="007E4B7B">
              <w:rPr>
                <w:rFonts w:ascii="宋体" w:cs="宋体" w:hint="eastAsia"/>
                <w:kern w:val="0"/>
                <w:sz w:val="20"/>
                <w:szCs w:val="18"/>
              </w:rPr>
              <w:t>病理组织学确诊的前列腺癌；</w:t>
            </w:r>
          </w:p>
          <w:p w:rsidR="00FB6335" w:rsidRPr="007E4B7B" w:rsidRDefault="00FB6335" w:rsidP="003521B0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7E4B7B">
              <w:rPr>
                <w:rFonts w:ascii="宋体" w:cs="宋体"/>
                <w:kern w:val="0"/>
                <w:sz w:val="20"/>
                <w:szCs w:val="18"/>
              </w:rPr>
              <w:t>2.</w:t>
            </w:r>
            <w:r w:rsidRPr="007E4B7B">
              <w:rPr>
                <w:rFonts w:ascii="宋体" w:hAnsi="宋体" w:cs="宋体"/>
                <w:kern w:val="0"/>
                <w:sz w:val="20"/>
                <w:szCs w:val="18"/>
              </w:rPr>
              <w:t xml:space="preserve"> </w:t>
            </w:r>
            <w:r w:rsidRPr="007E4B7B">
              <w:rPr>
                <w:rFonts w:ascii="宋体" w:hAnsi="宋体" w:cs="宋体" w:hint="eastAsia"/>
                <w:kern w:val="0"/>
                <w:sz w:val="20"/>
                <w:szCs w:val="18"/>
              </w:rPr>
              <w:t>血清睾酮达到去势水平（＜</w:t>
            </w:r>
            <w:r w:rsidRPr="007E4B7B">
              <w:rPr>
                <w:rFonts w:ascii="宋体" w:hAnsi="宋体" w:cs="宋体"/>
                <w:kern w:val="0"/>
                <w:sz w:val="20"/>
                <w:szCs w:val="18"/>
              </w:rPr>
              <w:t>1.7nmol/L</w:t>
            </w:r>
            <w:r w:rsidRPr="007E4B7B">
              <w:rPr>
                <w:rFonts w:ascii="宋体" w:hAnsi="宋体" w:cs="宋体" w:hint="eastAsia"/>
                <w:kern w:val="0"/>
                <w:sz w:val="20"/>
                <w:szCs w:val="18"/>
              </w:rPr>
              <w:t>）；</w:t>
            </w:r>
          </w:p>
          <w:p w:rsidR="00FB6335" w:rsidRPr="007E4B7B" w:rsidRDefault="00FB6335" w:rsidP="00723FFE">
            <w:pPr>
              <w:widowControl/>
              <w:spacing w:line="300" w:lineRule="exact"/>
              <w:jc w:val="left"/>
              <w:textAlignment w:val="center"/>
              <w:rPr>
                <w:rFonts w:ascii="宋体" w:cs="Arial"/>
                <w:sz w:val="20"/>
                <w:szCs w:val="18"/>
                <w:shd w:val="clear" w:color="auto" w:fill="FFFFFF"/>
              </w:rPr>
            </w:pPr>
            <w:r w:rsidRPr="007E4B7B">
              <w:rPr>
                <w:rFonts w:ascii="宋体" w:hAnsi="宋体" w:cs="宋体"/>
                <w:kern w:val="0"/>
                <w:sz w:val="20"/>
                <w:szCs w:val="18"/>
              </w:rPr>
              <w:t>3.</w:t>
            </w:r>
            <w:r w:rsidRPr="007E4B7B">
              <w:rPr>
                <w:rFonts w:ascii="Arial" w:hAnsi="Arial" w:cs="Arial"/>
                <w:sz w:val="22"/>
                <w:shd w:val="clear" w:color="auto" w:fill="FFFFFF"/>
              </w:rPr>
              <w:t xml:space="preserve"> </w:t>
            </w:r>
            <w:r w:rsidRPr="007E4B7B">
              <w:rPr>
                <w:rFonts w:ascii="宋体" w:hAnsi="宋体" w:cs="Arial" w:hint="eastAsia"/>
                <w:sz w:val="20"/>
                <w:szCs w:val="18"/>
                <w:shd w:val="clear" w:color="auto" w:fill="FFFFFF"/>
              </w:rPr>
              <w:t>生化进展：间隔</w:t>
            </w:r>
            <w:r w:rsidRPr="007E4B7B">
              <w:rPr>
                <w:rFonts w:ascii="宋体" w:hAnsi="宋体" w:cs="Arial"/>
                <w:sz w:val="20"/>
                <w:szCs w:val="18"/>
                <w:shd w:val="clear" w:color="auto" w:fill="FFFFFF"/>
              </w:rPr>
              <w:t>1</w:t>
            </w:r>
            <w:r w:rsidRPr="007E4B7B">
              <w:rPr>
                <w:rFonts w:ascii="宋体" w:hAnsi="宋体" w:cs="Arial" w:hint="eastAsia"/>
                <w:sz w:val="20"/>
                <w:szCs w:val="18"/>
                <w:shd w:val="clear" w:color="auto" w:fill="FFFFFF"/>
              </w:rPr>
              <w:t>周或以上连续</w:t>
            </w:r>
            <w:r w:rsidRPr="007E4B7B">
              <w:rPr>
                <w:rFonts w:ascii="宋体" w:hAnsi="宋体" w:cs="Arial"/>
                <w:sz w:val="20"/>
                <w:szCs w:val="18"/>
                <w:shd w:val="clear" w:color="auto" w:fill="FFFFFF"/>
              </w:rPr>
              <w:t>3</w:t>
            </w:r>
            <w:r w:rsidRPr="007E4B7B">
              <w:rPr>
                <w:rFonts w:ascii="宋体" w:hAnsi="宋体" w:cs="Arial" w:hint="eastAsia"/>
                <w:sz w:val="20"/>
                <w:szCs w:val="18"/>
                <w:shd w:val="clear" w:color="auto" w:fill="FFFFFF"/>
              </w:rPr>
              <w:t>次测量前列腺特异抗原（</w:t>
            </w:r>
            <w:r w:rsidRPr="007E4B7B">
              <w:rPr>
                <w:rFonts w:ascii="宋体" w:hAnsi="宋体" w:cs="Arial"/>
                <w:sz w:val="20"/>
                <w:szCs w:val="18"/>
                <w:shd w:val="clear" w:color="auto" w:fill="FFFFFF"/>
              </w:rPr>
              <w:t>PSA</w:t>
            </w:r>
            <w:r w:rsidRPr="007E4B7B">
              <w:rPr>
                <w:rFonts w:ascii="宋体" w:hAnsi="宋体" w:cs="Arial" w:hint="eastAsia"/>
                <w:sz w:val="20"/>
                <w:szCs w:val="18"/>
                <w:shd w:val="clear" w:color="auto" w:fill="FFFFFF"/>
              </w:rPr>
              <w:t>）上升，连续两次较最低值升高</w:t>
            </w:r>
            <w:r w:rsidRPr="007E4B7B">
              <w:rPr>
                <w:rFonts w:ascii="宋体" w:hAnsi="宋体" w:cs="Arial"/>
                <w:sz w:val="20"/>
                <w:szCs w:val="18"/>
                <w:shd w:val="clear" w:color="auto" w:fill="FFFFFF"/>
              </w:rPr>
              <w:t>50%</w:t>
            </w:r>
            <w:r w:rsidRPr="007E4B7B">
              <w:rPr>
                <w:rFonts w:ascii="宋体" w:hAnsi="宋体" w:cs="Arial" w:hint="eastAsia"/>
                <w:sz w:val="20"/>
                <w:szCs w:val="18"/>
                <w:shd w:val="clear" w:color="auto" w:fill="FFFFFF"/>
              </w:rPr>
              <w:t>以上，且</w:t>
            </w:r>
            <w:r w:rsidRPr="007E4B7B">
              <w:rPr>
                <w:rFonts w:ascii="宋体" w:hAnsi="宋体" w:cs="Arial"/>
                <w:sz w:val="20"/>
                <w:szCs w:val="18"/>
                <w:shd w:val="clear" w:color="auto" w:fill="FFFFFF"/>
              </w:rPr>
              <w:t>PSA</w:t>
            </w:r>
            <w:r w:rsidRPr="007E4B7B">
              <w:rPr>
                <w:rFonts w:ascii="宋体" w:hAnsi="宋体" w:cs="Arial" w:hint="eastAsia"/>
                <w:sz w:val="20"/>
                <w:szCs w:val="18"/>
                <w:shd w:val="clear" w:color="auto" w:fill="FFFFFF"/>
              </w:rPr>
              <w:t>＞</w:t>
            </w:r>
            <w:r w:rsidRPr="007E4B7B">
              <w:rPr>
                <w:rFonts w:ascii="宋体" w:hAnsi="宋体" w:cs="Arial"/>
                <w:sz w:val="20"/>
                <w:szCs w:val="18"/>
                <w:shd w:val="clear" w:color="auto" w:fill="FFFFFF"/>
              </w:rPr>
              <w:t xml:space="preserve">2 </w:t>
            </w:r>
            <w:r w:rsidRPr="007E4B7B">
              <w:rPr>
                <w:rFonts w:ascii="宋体" w:hAnsi="宋体" w:cs="Arial" w:hint="eastAsia"/>
                <w:sz w:val="20"/>
                <w:szCs w:val="18"/>
                <w:shd w:val="clear" w:color="auto" w:fill="FFFFFF"/>
              </w:rPr>
              <w:t>μ</w:t>
            </w:r>
            <w:r w:rsidRPr="007E4B7B">
              <w:rPr>
                <w:rFonts w:ascii="宋体" w:hAnsi="宋体" w:cs="Arial"/>
                <w:sz w:val="20"/>
                <w:szCs w:val="18"/>
                <w:shd w:val="clear" w:color="auto" w:fill="FFFFFF"/>
              </w:rPr>
              <w:t>g/L</w:t>
            </w:r>
            <w:r w:rsidRPr="007E4B7B">
              <w:rPr>
                <w:rFonts w:ascii="宋体" w:hAnsi="宋体" w:cs="Arial" w:hint="eastAsia"/>
                <w:sz w:val="20"/>
                <w:szCs w:val="18"/>
                <w:shd w:val="clear" w:color="auto" w:fill="FFFFFF"/>
              </w:rPr>
              <w:t>；</w:t>
            </w:r>
          </w:p>
          <w:p w:rsidR="00FB6335" w:rsidRPr="00D31394" w:rsidRDefault="00FB6335" w:rsidP="00723FFE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18"/>
              </w:rPr>
            </w:pPr>
            <w:r w:rsidRPr="007E4B7B">
              <w:rPr>
                <w:rFonts w:ascii="宋体" w:hAnsi="宋体" w:cs="Arial"/>
                <w:sz w:val="20"/>
                <w:szCs w:val="18"/>
                <w:shd w:val="clear" w:color="auto" w:fill="FFFFFF"/>
              </w:rPr>
              <w:t>4.</w:t>
            </w:r>
            <w:r w:rsidRPr="007E4B7B">
              <w:rPr>
                <w:rFonts w:ascii="宋体" w:hAnsi="宋体" w:cs="Arial" w:hint="eastAsia"/>
                <w:sz w:val="20"/>
                <w:szCs w:val="18"/>
                <w:shd w:val="clear" w:color="auto" w:fill="FFFFFF"/>
              </w:rPr>
              <w:t>影像学进展：骨扫描发现</w:t>
            </w:r>
            <w:r w:rsidRPr="007E4B7B">
              <w:rPr>
                <w:rFonts w:ascii="宋体" w:hAnsi="宋体" w:cs="Arial"/>
                <w:sz w:val="20"/>
                <w:szCs w:val="18"/>
                <w:shd w:val="clear" w:color="auto" w:fill="FFFFFF"/>
              </w:rPr>
              <w:t>2</w:t>
            </w:r>
            <w:r w:rsidRPr="007E4B7B">
              <w:rPr>
                <w:rFonts w:ascii="宋体" w:hAnsi="宋体" w:cs="Arial" w:hint="eastAsia"/>
                <w:sz w:val="20"/>
                <w:szCs w:val="18"/>
                <w:shd w:val="clear" w:color="auto" w:fill="FFFFFF"/>
              </w:rPr>
              <w:t>个或</w:t>
            </w:r>
            <w:r w:rsidRPr="007E4B7B">
              <w:rPr>
                <w:rFonts w:ascii="宋体" w:hAnsi="宋体" w:cs="Arial"/>
                <w:sz w:val="20"/>
                <w:szCs w:val="18"/>
                <w:shd w:val="clear" w:color="auto" w:fill="FFFFFF"/>
              </w:rPr>
              <w:t>2</w:t>
            </w:r>
            <w:r w:rsidRPr="007E4B7B">
              <w:rPr>
                <w:rFonts w:ascii="宋体" w:hAnsi="宋体" w:cs="Arial" w:hint="eastAsia"/>
                <w:sz w:val="20"/>
                <w:szCs w:val="18"/>
                <w:shd w:val="clear" w:color="auto" w:fill="FFFFFF"/>
              </w:rPr>
              <w:t>个以上的新病灶或符合实体瘤反应评价标准的软组织病灶增大。</w:t>
            </w:r>
          </w:p>
        </w:tc>
      </w:tr>
      <w:tr w:rsidR="00FB6335" w:rsidRPr="00D31394" w:rsidTr="00307514">
        <w:trPr>
          <w:trHeight w:val="893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Default="00FB6335" w:rsidP="00D261FB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6335" w:rsidRPr="00CB4BFF" w:rsidRDefault="00FB6335" w:rsidP="00D261FB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CB4BF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多发性硬化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Default="00FB6335" w:rsidP="00D261FB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门诊干扰素药物治疗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Default="00FB6335" w:rsidP="00D261FB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限支付重组人干扰素β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-1b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费用，限常规治疗无效的多发性硬化患者。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0A5BC3" w:rsidRDefault="00FB6335" w:rsidP="000A5BC3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 w:rsidRPr="000A5BC3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  <w:r w:rsidRPr="007E4B7B">
              <w:rPr>
                <w:rFonts w:ascii="宋体" w:cs="宋体"/>
                <w:kern w:val="0"/>
                <w:sz w:val="20"/>
                <w:szCs w:val="18"/>
              </w:rPr>
              <w:t>.</w:t>
            </w:r>
            <w:r w:rsidRPr="000A5BC3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根据病史、体征、结合神经影像学、神经电生理、脑脊液检查确诊为多发性硬化；</w:t>
            </w:r>
          </w:p>
          <w:p w:rsidR="00FB6335" w:rsidRDefault="00FB6335" w:rsidP="003A226C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A5BC3"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  <w:r w:rsidRPr="007E4B7B">
              <w:rPr>
                <w:rFonts w:ascii="宋体" w:cs="宋体"/>
                <w:kern w:val="0"/>
                <w:sz w:val="20"/>
                <w:szCs w:val="18"/>
              </w:rPr>
              <w:t>.</w:t>
            </w:r>
            <w:r w:rsidRPr="000A5BC3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常规治疗无效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FB6335" w:rsidRPr="00D31394" w:rsidTr="00307514">
        <w:trPr>
          <w:trHeight w:val="152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6335" w:rsidRDefault="00FB6335" w:rsidP="00D261FB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5" w:rsidRDefault="00FB6335" w:rsidP="00D261FB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黄斑变性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Default="00FB6335" w:rsidP="00D261FB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门诊手术治疗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Default="00FB6335" w:rsidP="00D261FB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限支付康柏西普费用和</w:t>
            </w:r>
            <w:r>
              <w:rPr>
                <w:rStyle w:val="font01"/>
                <w:rFonts w:hint="eastAsia"/>
                <w:color w:val="auto"/>
              </w:rPr>
              <w:t>手术费用</w:t>
            </w:r>
            <w:r>
              <w:rPr>
                <w:rStyle w:val="font21"/>
                <w:rFonts w:hint="eastAsia"/>
                <w:color w:val="auto"/>
              </w:rPr>
              <w:t>，限</w:t>
            </w:r>
            <w:r>
              <w:rPr>
                <w:rStyle w:val="font21"/>
                <w:color w:val="auto"/>
              </w:rPr>
              <w:t>50</w:t>
            </w:r>
            <w:r>
              <w:rPr>
                <w:rStyle w:val="font21"/>
                <w:rFonts w:hint="eastAsia"/>
                <w:color w:val="auto"/>
              </w:rPr>
              <w:t>岁以上湿性年龄相关性黄斑变性患者，并符合以下条件：</w:t>
            </w:r>
            <w:r>
              <w:rPr>
                <w:rStyle w:val="font21"/>
                <w:color w:val="auto"/>
              </w:rPr>
              <w:t>1.</w:t>
            </w:r>
            <w:r>
              <w:rPr>
                <w:rStyle w:val="font21"/>
                <w:rFonts w:hint="eastAsia"/>
                <w:color w:val="auto"/>
              </w:rPr>
              <w:t>需三级综合医院眼科或二级及以上眼科专科医院医师处方；</w:t>
            </w:r>
            <w:r>
              <w:rPr>
                <w:rStyle w:val="font21"/>
                <w:color w:val="auto"/>
              </w:rPr>
              <w:t>2.</w:t>
            </w:r>
            <w:r>
              <w:rPr>
                <w:rStyle w:val="font21"/>
                <w:rFonts w:hint="eastAsia"/>
                <w:color w:val="auto"/>
              </w:rPr>
              <w:t>病眼基线矫正视力</w:t>
            </w:r>
            <w:r>
              <w:rPr>
                <w:rStyle w:val="font21"/>
                <w:color w:val="auto"/>
              </w:rPr>
              <w:t>0.05-0.5</w:t>
            </w:r>
            <w:r>
              <w:rPr>
                <w:rStyle w:val="font21"/>
                <w:rFonts w:hint="eastAsia"/>
                <w:color w:val="auto"/>
              </w:rPr>
              <w:t>；</w:t>
            </w:r>
            <w:r>
              <w:rPr>
                <w:rStyle w:val="font21"/>
                <w:color w:val="auto"/>
              </w:rPr>
              <w:t>3.</w:t>
            </w:r>
            <w:r>
              <w:rPr>
                <w:rStyle w:val="font21"/>
                <w:rFonts w:hint="eastAsia"/>
                <w:color w:val="auto"/>
              </w:rPr>
              <w:t>事前审查后方可用，初次申请需有血管造影及</w:t>
            </w:r>
            <w:r>
              <w:rPr>
                <w:rStyle w:val="font21"/>
                <w:color w:val="auto"/>
              </w:rPr>
              <w:t>OCT</w:t>
            </w:r>
            <w:r>
              <w:rPr>
                <w:rStyle w:val="font21"/>
                <w:rFonts w:hint="eastAsia"/>
                <w:color w:val="auto"/>
              </w:rPr>
              <w:t>（全身情况不允许的患者可以提供</w:t>
            </w:r>
            <w:r>
              <w:rPr>
                <w:rStyle w:val="font21"/>
                <w:color w:val="auto"/>
              </w:rPr>
              <w:t>OCT</w:t>
            </w:r>
            <w:r>
              <w:rPr>
                <w:rStyle w:val="font21"/>
                <w:rFonts w:hint="eastAsia"/>
                <w:color w:val="auto"/>
              </w:rPr>
              <w:t>血管成像）证据；</w:t>
            </w:r>
            <w:r>
              <w:rPr>
                <w:rStyle w:val="font21"/>
                <w:color w:val="auto"/>
              </w:rPr>
              <w:t>4.</w:t>
            </w:r>
            <w:r>
              <w:rPr>
                <w:rStyle w:val="font21"/>
                <w:rFonts w:hint="eastAsia"/>
                <w:color w:val="auto"/>
              </w:rPr>
              <w:t>每眼累计最多支付</w:t>
            </w:r>
            <w:r>
              <w:rPr>
                <w:rStyle w:val="font21"/>
                <w:color w:val="auto"/>
              </w:rPr>
              <w:t>9</w:t>
            </w:r>
            <w:r>
              <w:rPr>
                <w:rStyle w:val="font21"/>
                <w:rFonts w:hint="eastAsia"/>
                <w:color w:val="auto"/>
              </w:rPr>
              <w:t>支，每个年度最多支付</w:t>
            </w:r>
            <w:r>
              <w:rPr>
                <w:rStyle w:val="font21"/>
                <w:color w:val="auto"/>
              </w:rPr>
              <w:t>4</w:t>
            </w:r>
            <w:r>
              <w:rPr>
                <w:rStyle w:val="font21"/>
                <w:rFonts w:hint="eastAsia"/>
                <w:color w:val="auto"/>
              </w:rPr>
              <w:t>支。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Default="00FB6335" w:rsidP="00D261FB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color w:val="auto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</w:t>
            </w:r>
            <w:r w:rsidRPr="007E4B7B">
              <w:rPr>
                <w:rFonts w:ascii="宋体" w:cs="宋体"/>
                <w:kern w:val="0"/>
                <w:sz w:val="20"/>
                <w:szCs w:val="18"/>
              </w:rPr>
              <w:t>.</w:t>
            </w:r>
            <w:r>
              <w:rPr>
                <w:rStyle w:val="font21"/>
                <w:rFonts w:hint="eastAsia"/>
                <w:color w:val="auto"/>
              </w:rPr>
              <w:t>年龄</w:t>
            </w:r>
            <w:r>
              <w:rPr>
                <w:rStyle w:val="font21"/>
                <w:color w:val="auto"/>
              </w:rPr>
              <w:t>50</w:t>
            </w:r>
            <w:r>
              <w:rPr>
                <w:rStyle w:val="font21"/>
                <w:rFonts w:hint="eastAsia"/>
                <w:color w:val="auto"/>
              </w:rPr>
              <w:t>岁以上；</w:t>
            </w:r>
          </w:p>
          <w:p w:rsidR="00FB6335" w:rsidRDefault="00FB6335" w:rsidP="00D261FB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color w:val="auto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</w:t>
            </w:r>
            <w:r w:rsidRPr="007E4B7B">
              <w:rPr>
                <w:rFonts w:ascii="宋体" w:cs="宋体"/>
                <w:kern w:val="0"/>
                <w:sz w:val="20"/>
                <w:szCs w:val="18"/>
              </w:rPr>
              <w:t>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诊断为</w:t>
            </w:r>
            <w:r>
              <w:rPr>
                <w:rStyle w:val="font21"/>
                <w:rFonts w:hint="eastAsia"/>
                <w:color w:val="auto"/>
              </w:rPr>
              <w:t>湿性年龄相关性黄斑变性；</w:t>
            </w:r>
          </w:p>
          <w:p w:rsidR="00FB6335" w:rsidRDefault="00FB6335" w:rsidP="00D261FB">
            <w:pPr>
              <w:widowControl/>
              <w:spacing w:line="300" w:lineRule="exact"/>
              <w:jc w:val="left"/>
              <w:textAlignment w:val="center"/>
              <w:rPr>
                <w:rStyle w:val="font21"/>
                <w:color w:val="auto"/>
              </w:rPr>
            </w:pPr>
            <w:r>
              <w:rPr>
                <w:rStyle w:val="font21"/>
                <w:color w:val="auto"/>
              </w:rPr>
              <w:t>3</w:t>
            </w:r>
            <w:r w:rsidRPr="007E4B7B">
              <w:rPr>
                <w:rFonts w:ascii="宋体" w:cs="宋体"/>
                <w:kern w:val="0"/>
                <w:sz w:val="20"/>
                <w:szCs w:val="18"/>
              </w:rPr>
              <w:t>.</w:t>
            </w:r>
            <w:r>
              <w:rPr>
                <w:rStyle w:val="font21"/>
                <w:rFonts w:hint="eastAsia"/>
                <w:color w:val="auto"/>
              </w:rPr>
              <w:t>病眼基线矫正视力</w:t>
            </w:r>
            <w:r>
              <w:rPr>
                <w:rStyle w:val="font21"/>
                <w:color w:val="auto"/>
              </w:rPr>
              <w:t>0.05-0.5</w:t>
            </w:r>
            <w:r>
              <w:rPr>
                <w:rStyle w:val="font21"/>
                <w:rFonts w:hint="eastAsia"/>
                <w:color w:val="auto"/>
              </w:rPr>
              <w:t>；</w:t>
            </w:r>
          </w:p>
          <w:p w:rsidR="00FB6335" w:rsidRDefault="00FB6335" w:rsidP="00D261FB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Style w:val="font21"/>
                <w:color w:val="auto"/>
              </w:rPr>
              <w:t>4</w:t>
            </w:r>
            <w:r w:rsidRPr="007E4B7B">
              <w:rPr>
                <w:rFonts w:ascii="宋体" w:cs="宋体"/>
                <w:kern w:val="0"/>
                <w:sz w:val="20"/>
                <w:szCs w:val="18"/>
              </w:rPr>
              <w:t>.</w:t>
            </w:r>
            <w:r>
              <w:rPr>
                <w:rStyle w:val="font21"/>
                <w:rFonts w:hint="eastAsia"/>
                <w:color w:val="auto"/>
              </w:rPr>
              <w:t>初次申请需有血管造影及</w:t>
            </w:r>
            <w:r>
              <w:rPr>
                <w:rStyle w:val="font21"/>
                <w:color w:val="auto"/>
              </w:rPr>
              <w:t>OCT</w:t>
            </w:r>
            <w:r>
              <w:rPr>
                <w:rStyle w:val="font21"/>
                <w:rFonts w:hint="eastAsia"/>
                <w:color w:val="auto"/>
              </w:rPr>
              <w:t>（全身情况不允许的患者可以提供</w:t>
            </w:r>
            <w:r>
              <w:rPr>
                <w:rStyle w:val="font21"/>
                <w:color w:val="auto"/>
              </w:rPr>
              <w:t>OCT</w:t>
            </w:r>
            <w:r>
              <w:rPr>
                <w:rStyle w:val="font21"/>
                <w:rFonts w:hint="eastAsia"/>
                <w:color w:val="auto"/>
              </w:rPr>
              <w:t>血管成像）证据；眼底可见出血、渗出及新生血管等。</w:t>
            </w:r>
          </w:p>
        </w:tc>
      </w:tr>
      <w:tr w:rsidR="00FB6335" w:rsidRPr="00D31394" w:rsidTr="004635DC">
        <w:trPr>
          <w:trHeight w:val="90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Default="00FB6335" w:rsidP="00D261FB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Default="00FB6335" w:rsidP="00D261FB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肌萎缩侧索硬化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Default="00FB6335" w:rsidP="00D261FB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门诊利鲁唑药物治疗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Default="00FB6335" w:rsidP="00D261FB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限支付利鲁唑费用。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0A5BC3" w:rsidRDefault="00FB6335" w:rsidP="00D261FB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A5BC3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根据病史、体征、结合电生理或神经病理学、神经影像学等辅助检查临床确诊为肌萎缩侧索硬化</w:t>
            </w:r>
          </w:p>
        </w:tc>
      </w:tr>
      <w:tr w:rsidR="00FB6335" w:rsidRPr="00D31394" w:rsidTr="004635DC">
        <w:trPr>
          <w:trHeight w:val="1188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Default="00FB6335" w:rsidP="00D261FB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Default="00FB6335" w:rsidP="00D261FB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原发性免疫球蛋白缺乏症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Default="00FB6335" w:rsidP="00D261FB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门诊免疫替补疗法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Default="00FB6335" w:rsidP="00D261FB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限支付静脉注射用人免疫球蛋白（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PH4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）费用。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0A5BC3" w:rsidRDefault="00FB6335" w:rsidP="003A226C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A5BC3">
              <w:rPr>
                <w:rStyle w:val="font21"/>
                <w:rFonts w:hint="eastAsia"/>
              </w:rPr>
              <w:t>根</w:t>
            </w:r>
            <w:r w:rsidRPr="000A5BC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据病史及实验室检查诊断为</w:t>
            </w:r>
            <w:r w:rsidRPr="000A5BC3">
              <w:rPr>
                <w:rFonts w:ascii="宋体" w:cs="宋体"/>
                <w:color w:val="000000"/>
                <w:kern w:val="0"/>
                <w:sz w:val="18"/>
                <w:szCs w:val="18"/>
              </w:rPr>
              <w:t>X-</w:t>
            </w:r>
            <w:r w:rsidRPr="000A5BC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连锁无丙种球蛋白血症和常染色体无丙种球蛋白血症、常见变异性免疫缺陷、高</w:t>
            </w:r>
            <w:r w:rsidRPr="000A5BC3">
              <w:rPr>
                <w:rFonts w:ascii="宋体" w:cs="宋体"/>
                <w:color w:val="000000"/>
                <w:kern w:val="0"/>
                <w:sz w:val="18"/>
                <w:szCs w:val="18"/>
              </w:rPr>
              <w:t>IgM</w:t>
            </w:r>
            <w:r w:rsidRPr="000A5BC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综合征等需免疫球蛋白</w:t>
            </w:r>
            <w:r w:rsidRPr="000A5BC3">
              <w:rPr>
                <w:rFonts w:ascii="宋体" w:cs="宋体"/>
                <w:color w:val="000000"/>
                <w:kern w:val="0"/>
                <w:sz w:val="18"/>
                <w:szCs w:val="18"/>
              </w:rPr>
              <w:t>G</w:t>
            </w:r>
            <w:r w:rsidRPr="000A5BC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治疗者</w:t>
            </w:r>
          </w:p>
        </w:tc>
      </w:tr>
      <w:tr w:rsidR="00FB6335" w:rsidRPr="00D31394" w:rsidTr="004635DC">
        <w:trPr>
          <w:trHeight w:val="90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Default="00FB6335" w:rsidP="00D261FB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Default="00FB6335" w:rsidP="00D261FB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特发性肺纤维化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Default="00FB6335" w:rsidP="00D261FB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门诊免疫抑制剂治疗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Default="00FB6335" w:rsidP="00D261FB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限支付吡非尼酮费用。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Pr="000A5BC3" w:rsidRDefault="00FB6335" w:rsidP="003A226C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A5B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根据症状、体征、结合</w:t>
            </w:r>
            <w:r w:rsidRPr="000A5BC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</w:t>
            </w:r>
            <w:r w:rsidRPr="000A5B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线摄片、</w:t>
            </w:r>
            <w:r w:rsidRPr="000A5BC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CT</w:t>
            </w:r>
            <w:r w:rsidRPr="000A5B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、肺功能、肺活检等辅助检查明确诊断为特发性肺纤维化</w:t>
            </w:r>
          </w:p>
        </w:tc>
      </w:tr>
      <w:tr w:rsidR="00FB6335" w:rsidRPr="00D31394" w:rsidTr="004635DC">
        <w:trPr>
          <w:trHeight w:val="1682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Default="00FB6335" w:rsidP="00D261FB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Default="00FB6335" w:rsidP="00D261FB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急性早幼粒细胞白血病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Default="00FB6335" w:rsidP="00D261FB"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门诊全反式维甲酸十口服砷剂治疗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Default="00FB6335" w:rsidP="00D261FB"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限支付维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酸和复方黄黛片费用，限初治的急性早幼粒细胞白血病。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35" w:rsidRDefault="00FB6335" w:rsidP="00647482">
            <w:pPr>
              <w:shd w:val="clear" w:color="auto" w:fill="FFFFFF"/>
              <w:spacing w:line="300" w:lineRule="atLeas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A5BC3"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  <w:r w:rsidRPr="000A5BC3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．</w:t>
            </w:r>
            <w:r w:rsidRPr="000A5B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骨髓形态为胞质含粗大颗粒和</w:t>
            </w:r>
            <w:r w:rsidRPr="000A5BC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Auer</w:t>
            </w:r>
            <w:r w:rsidRPr="000A5B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小体（也有微颗粒变异型）的异常早幼粒</w:t>
            </w:r>
            <w:hyperlink r:id="rId7" w:tgtFrame="_blank" w:history="1">
              <w:r w:rsidRPr="000A5BC3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细胞</w:t>
              </w:r>
            </w:hyperlink>
            <w:r w:rsidRPr="000A5B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增生；</w:t>
            </w:r>
          </w:p>
          <w:p w:rsidR="00FB6335" w:rsidRDefault="00FB6335" w:rsidP="00647482">
            <w:pPr>
              <w:shd w:val="clear" w:color="auto" w:fill="FFFFFF"/>
              <w:spacing w:line="300" w:lineRule="atLeas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0A5BC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0A5B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．临床常有严重出血且易合并</w:t>
            </w:r>
            <w:r w:rsidRPr="000A5BC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DIC</w:t>
            </w:r>
            <w:r w:rsidRPr="000A5B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和</w:t>
            </w:r>
            <w:hyperlink r:id="rId8" w:tgtFrame="_blank" w:history="1">
              <w:r w:rsidRPr="000A5BC3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纤维蛋白</w:t>
              </w:r>
            </w:hyperlink>
            <w:r w:rsidRPr="000A5B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溶解；</w:t>
            </w:r>
          </w:p>
          <w:p w:rsidR="00FB6335" w:rsidRPr="000A5BC3" w:rsidRDefault="00FB6335" w:rsidP="00647482">
            <w:pPr>
              <w:shd w:val="clear" w:color="auto" w:fill="FFFFFF"/>
              <w:spacing w:line="300" w:lineRule="atLeas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0A5BC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0A5B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．显示特异性</w:t>
            </w:r>
            <w:hyperlink r:id="rId9" w:tgtFrame="_blank" w:history="1">
              <w:r w:rsidRPr="000A5BC3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</w:rPr>
                <w:t>染色体</w:t>
              </w:r>
            </w:hyperlink>
            <w:r w:rsidRPr="000A5B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异位</w:t>
            </w:r>
            <w:r w:rsidRPr="000A5BC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t</w:t>
            </w:r>
            <w:r w:rsidRPr="000A5B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0A5BC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  <w:r w:rsidRPr="000A5B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0A5BC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  <w:r w:rsidRPr="000A5B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）或</w:t>
            </w:r>
            <w:r w:rsidRPr="000A5BC3"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  <w:t>PML/RARa</w:t>
            </w:r>
            <w:r w:rsidRPr="000A5BC3"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融合基因阳性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FB6335" w:rsidRDefault="00FB6335" w:rsidP="00A131EA">
      <w:pPr>
        <w:rPr>
          <w:rFonts w:ascii="仿宋" w:eastAsia="仿宋" w:hAnsi="仿宋" w:cs="仿宋"/>
          <w:sz w:val="36"/>
          <w:szCs w:val="32"/>
        </w:rPr>
      </w:pPr>
    </w:p>
    <w:p w:rsidR="00FB6335" w:rsidRDefault="00FB6335" w:rsidP="00A131EA">
      <w:pPr>
        <w:rPr>
          <w:rFonts w:ascii="仿宋" w:eastAsia="仿宋" w:hAnsi="仿宋" w:cs="仿宋"/>
          <w:sz w:val="36"/>
          <w:szCs w:val="32"/>
        </w:rPr>
      </w:pPr>
    </w:p>
    <w:p w:rsidR="00FB6335" w:rsidRDefault="00FB6335" w:rsidP="00A131EA">
      <w:pPr>
        <w:rPr>
          <w:rFonts w:ascii="仿宋" w:eastAsia="仿宋" w:hAnsi="仿宋" w:cs="仿宋"/>
          <w:sz w:val="36"/>
          <w:szCs w:val="32"/>
        </w:rPr>
      </w:pPr>
    </w:p>
    <w:sectPr w:rsidR="00FB6335" w:rsidSect="00910558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 w:code="9"/>
      <w:pgMar w:top="1701" w:right="1440" w:bottom="1588" w:left="1440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335" w:rsidRDefault="00FB6335" w:rsidP="00AC6BA8">
      <w:r>
        <w:separator/>
      </w:r>
    </w:p>
  </w:endnote>
  <w:endnote w:type="continuationSeparator" w:id="0">
    <w:p w:rsidR="00FB6335" w:rsidRDefault="00FB6335" w:rsidP="00AC6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-weight : 4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35" w:rsidRDefault="00FB6335">
    <w:pPr>
      <w:pStyle w:val="Footer"/>
      <w:tabs>
        <w:tab w:val="clear" w:pos="4153"/>
        <w:tab w:val="left" w:pos="292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335" w:rsidRDefault="00FB6335" w:rsidP="00AC6BA8">
      <w:r>
        <w:separator/>
      </w:r>
    </w:p>
  </w:footnote>
  <w:footnote w:type="continuationSeparator" w:id="0">
    <w:p w:rsidR="00FB6335" w:rsidRDefault="00FB6335" w:rsidP="00AC6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35" w:rsidRDefault="00FB633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35" w:rsidRDefault="00FB6335" w:rsidP="003D37B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35" w:rsidRDefault="00FB633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F156D6"/>
    <w:multiLevelType w:val="singleLevel"/>
    <w:tmpl w:val="90F156D6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BC7BC44C"/>
    <w:multiLevelType w:val="singleLevel"/>
    <w:tmpl w:val="BC7BC44C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21863973"/>
    <w:multiLevelType w:val="hybridMultilevel"/>
    <w:tmpl w:val="74847542"/>
    <w:lvl w:ilvl="0" w:tplc="A4862D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C078266"/>
    <w:multiLevelType w:val="singleLevel"/>
    <w:tmpl w:val="3C078266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4">
    <w:nsid w:val="7CD66C7A"/>
    <w:multiLevelType w:val="hybridMultilevel"/>
    <w:tmpl w:val="5D7AA070"/>
    <w:lvl w:ilvl="0" w:tplc="4A1C7B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9752AA"/>
    <w:rsid w:val="000313C4"/>
    <w:rsid w:val="00061BBB"/>
    <w:rsid w:val="00090F7F"/>
    <w:rsid w:val="000A5BC3"/>
    <w:rsid w:val="000E24EC"/>
    <w:rsid w:val="0013186D"/>
    <w:rsid w:val="00165349"/>
    <w:rsid w:val="00175D4C"/>
    <w:rsid w:val="001A1A34"/>
    <w:rsid w:val="001B7138"/>
    <w:rsid w:val="001E562F"/>
    <w:rsid w:val="00237346"/>
    <w:rsid w:val="00267188"/>
    <w:rsid w:val="00286EF5"/>
    <w:rsid w:val="0028705C"/>
    <w:rsid w:val="00296893"/>
    <w:rsid w:val="002C0332"/>
    <w:rsid w:val="002C4076"/>
    <w:rsid w:val="002F06F2"/>
    <w:rsid w:val="00307514"/>
    <w:rsid w:val="003521B0"/>
    <w:rsid w:val="0035598B"/>
    <w:rsid w:val="003943DA"/>
    <w:rsid w:val="00394D80"/>
    <w:rsid w:val="00397992"/>
    <w:rsid w:val="003A02AD"/>
    <w:rsid w:val="003A226C"/>
    <w:rsid w:val="003B1141"/>
    <w:rsid w:val="003C2BA4"/>
    <w:rsid w:val="003D37B8"/>
    <w:rsid w:val="003D56D0"/>
    <w:rsid w:val="003E1BFC"/>
    <w:rsid w:val="003F4AAE"/>
    <w:rsid w:val="003F4B6E"/>
    <w:rsid w:val="00414271"/>
    <w:rsid w:val="00425CF3"/>
    <w:rsid w:val="004635DC"/>
    <w:rsid w:val="004876FE"/>
    <w:rsid w:val="004D142E"/>
    <w:rsid w:val="004E3E87"/>
    <w:rsid w:val="004E6B74"/>
    <w:rsid w:val="0050020F"/>
    <w:rsid w:val="0050160E"/>
    <w:rsid w:val="005347AD"/>
    <w:rsid w:val="0053788D"/>
    <w:rsid w:val="00540B0A"/>
    <w:rsid w:val="00585793"/>
    <w:rsid w:val="006017BF"/>
    <w:rsid w:val="00603D2B"/>
    <w:rsid w:val="006041AC"/>
    <w:rsid w:val="00613D5D"/>
    <w:rsid w:val="0061506C"/>
    <w:rsid w:val="0062497D"/>
    <w:rsid w:val="00647482"/>
    <w:rsid w:val="006919B6"/>
    <w:rsid w:val="006A0A0F"/>
    <w:rsid w:val="006D1C79"/>
    <w:rsid w:val="006E035C"/>
    <w:rsid w:val="00701F20"/>
    <w:rsid w:val="00723FFE"/>
    <w:rsid w:val="00724423"/>
    <w:rsid w:val="0079354A"/>
    <w:rsid w:val="007E4B7B"/>
    <w:rsid w:val="00856AA3"/>
    <w:rsid w:val="00860FF8"/>
    <w:rsid w:val="00895AAA"/>
    <w:rsid w:val="00896CBD"/>
    <w:rsid w:val="00904BDE"/>
    <w:rsid w:val="00910558"/>
    <w:rsid w:val="00951E7A"/>
    <w:rsid w:val="009521EB"/>
    <w:rsid w:val="00963505"/>
    <w:rsid w:val="00965F95"/>
    <w:rsid w:val="009742A3"/>
    <w:rsid w:val="00984593"/>
    <w:rsid w:val="009C02FA"/>
    <w:rsid w:val="009C3194"/>
    <w:rsid w:val="009C484E"/>
    <w:rsid w:val="009C5CE7"/>
    <w:rsid w:val="009E1AA3"/>
    <w:rsid w:val="009E2684"/>
    <w:rsid w:val="00A06F3F"/>
    <w:rsid w:val="00A131EA"/>
    <w:rsid w:val="00A44C9E"/>
    <w:rsid w:val="00A46588"/>
    <w:rsid w:val="00A50465"/>
    <w:rsid w:val="00A54D44"/>
    <w:rsid w:val="00A66538"/>
    <w:rsid w:val="00A7470A"/>
    <w:rsid w:val="00AA3C9A"/>
    <w:rsid w:val="00AB7C2D"/>
    <w:rsid w:val="00AC6BA8"/>
    <w:rsid w:val="00B01A89"/>
    <w:rsid w:val="00B14911"/>
    <w:rsid w:val="00B46555"/>
    <w:rsid w:val="00B84568"/>
    <w:rsid w:val="00B96FD1"/>
    <w:rsid w:val="00BD1A63"/>
    <w:rsid w:val="00BF1E45"/>
    <w:rsid w:val="00BF4BAA"/>
    <w:rsid w:val="00C030D4"/>
    <w:rsid w:val="00C10867"/>
    <w:rsid w:val="00C10B3A"/>
    <w:rsid w:val="00C32E14"/>
    <w:rsid w:val="00C338A2"/>
    <w:rsid w:val="00C43855"/>
    <w:rsid w:val="00C65201"/>
    <w:rsid w:val="00C70FA8"/>
    <w:rsid w:val="00CB472E"/>
    <w:rsid w:val="00CB4BFF"/>
    <w:rsid w:val="00CD7823"/>
    <w:rsid w:val="00D2145E"/>
    <w:rsid w:val="00D253D5"/>
    <w:rsid w:val="00D261FB"/>
    <w:rsid w:val="00D31394"/>
    <w:rsid w:val="00D33959"/>
    <w:rsid w:val="00D35D6F"/>
    <w:rsid w:val="00D7683C"/>
    <w:rsid w:val="00D8626D"/>
    <w:rsid w:val="00D9729A"/>
    <w:rsid w:val="00DF055B"/>
    <w:rsid w:val="00DF0C6A"/>
    <w:rsid w:val="00DF4D68"/>
    <w:rsid w:val="00E01140"/>
    <w:rsid w:val="00E11BE3"/>
    <w:rsid w:val="00E139C0"/>
    <w:rsid w:val="00E17A79"/>
    <w:rsid w:val="00E20F17"/>
    <w:rsid w:val="00E237E9"/>
    <w:rsid w:val="00E4363A"/>
    <w:rsid w:val="00E52BD9"/>
    <w:rsid w:val="00E5339A"/>
    <w:rsid w:val="00E6156E"/>
    <w:rsid w:val="00E624B4"/>
    <w:rsid w:val="00E90A98"/>
    <w:rsid w:val="00EB1F0C"/>
    <w:rsid w:val="00EB1F1A"/>
    <w:rsid w:val="00EB7F2C"/>
    <w:rsid w:val="00EC2047"/>
    <w:rsid w:val="00EC2F2D"/>
    <w:rsid w:val="00EF6062"/>
    <w:rsid w:val="00F117E6"/>
    <w:rsid w:val="00F26C93"/>
    <w:rsid w:val="00F336B9"/>
    <w:rsid w:val="00F4527D"/>
    <w:rsid w:val="00F65083"/>
    <w:rsid w:val="00F66C07"/>
    <w:rsid w:val="00F9215A"/>
    <w:rsid w:val="00FB1C75"/>
    <w:rsid w:val="00FB6335"/>
    <w:rsid w:val="00FD7E7E"/>
    <w:rsid w:val="00FD7FC9"/>
    <w:rsid w:val="00FF01A5"/>
    <w:rsid w:val="024B470A"/>
    <w:rsid w:val="024E5D18"/>
    <w:rsid w:val="031E146D"/>
    <w:rsid w:val="03D845E7"/>
    <w:rsid w:val="0573510F"/>
    <w:rsid w:val="062D4A4D"/>
    <w:rsid w:val="068644F2"/>
    <w:rsid w:val="06D26056"/>
    <w:rsid w:val="08B41F57"/>
    <w:rsid w:val="08F116E2"/>
    <w:rsid w:val="09B3368B"/>
    <w:rsid w:val="0AE90257"/>
    <w:rsid w:val="0C0C74FE"/>
    <w:rsid w:val="0C1E3355"/>
    <w:rsid w:val="0C263801"/>
    <w:rsid w:val="0DB417AB"/>
    <w:rsid w:val="0E64016E"/>
    <w:rsid w:val="0E660ED4"/>
    <w:rsid w:val="0EB241E0"/>
    <w:rsid w:val="0FCB14D9"/>
    <w:rsid w:val="1019301D"/>
    <w:rsid w:val="10E5209A"/>
    <w:rsid w:val="11030538"/>
    <w:rsid w:val="11306178"/>
    <w:rsid w:val="14323CBB"/>
    <w:rsid w:val="150A5C8F"/>
    <w:rsid w:val="17EA45B0"/>
    <w:rsid w:val="1BDB6F52"/>
    <w:rsid w:val="20037202"/>
    <w:rsid w:val="20480F28"/>
    <w:rsid w:val="235518E3"/>
    <w:rsid w:val="23C95CF1"/>
    <w:rsid w:val="23CE7770"/>
    <w:rsid w:val="2525486F"/>
    <w:rsid w:val="260E18F7"/>
    <w:rsid w:val="26801DF6"/>
    <w:rsid w:val="282A6C02"/>
    <w:rsid w:val="2B257EF2"/>
    <w:rsid w:val="2B450CF0"/>
    <w:rsid w:val="2C4B0597"/>
    <w:rsid w:val="2CF67E49"/>
    <w:rsid w:val="2CFF3373"/>
    <w:rsid w:val="2DD3420D"/>
    <w:rsid w:val="2EFD3CAA"/>
    <w:rsid w:val="30AD1F17"/>
    <w:rsid w:val="313F44BB"/>
    <w:rsid w:val="33337FAB"/>
    <w:rsid w:val="35670845"/>
    <w:rsid w:val="363C6908"/>
    <w:rsid w:val="36BB0840"/>
    <w:rsid w:val="384A3CF9"/>
    <w:rsid w:val="38CB5666"/>
    <w:rsid w:val="38D31781"/>
    <w:rsid w:val="39B30F8A"/>
    <w:rsid w:val="3A741411"/>
    <w:rsid w:val="3B0954D3"/>
    <w:rsid w:val="3B3A5B9B"/>
    <w:rsid w:val="3B922745"/>
    <w:rsid w:val="3C265266"/>
    <w:rsid w:val="3C880183"/>
    <w:rsid w:val="3D244B76"/>
    <w:rsid w:val="3E2850F0"/>
    <w:rsid w:val="414253CD"/>
    <w:rsid w:val="434407E4"/>
    <w:rsid w:val="43457C5A"/>
    <w:rsid w:val="43737A49"/>
    <w:rsid w:val="43E97A80"/>
    <w:rsid w:val="44724DA2"/>
    <w:rsid w:val="464F7F19"/>
    <w:rsid w:val="47B178D9"/>
    <w:rsid w:val="48356AC7"/>
    <w:rsid w:val="486C72DA"/>
    <w:rsid w:val="49685EAE"/>
    <w:rsid w:val="49883A22"/>
    <w:rsid w:val="49D61762"/>
    <w:rsid w:val="4CD61346"/>
    <w:rsid w:val="4D9F10E7"/>
    <w:rsid w:val="4FFF6A5C"/>
    <w:rsid w:val="51667622"/>
    <w:rsid w:val="51C637AE"/>
    <w:rsid w:val="524A4EA1"/>
    <w:rsid w:val="529A0B23"/>
    <w:rsid w:val="53407055"/>
    <w:rsid w:val="539A3A04"/>
    <w:rsid w:val="545369A1"/>
    <w:rsid w:val="54F440A1"/>
    <w:rsid w:val="564979F9"/>
    <w:rsid w:val="58E060CC"/>
    <w:rsid w:val="59090341"/>
    <w:rsid w:val="594A7A89"/>
    <w:rsid w:val="597E4D9D"/>
    <w:rsid w:val="599A43C6"/>
    <w:rsid w:val="59FF14BB"/>
    <w:rsid w:val="5B2721CB"/>
    <w:rsid w:val="5B3A714D"/>
    <w:rsid w:val="5B5A17BF"/>
    <w:rsid w:val="5B7008E3"/>
    <w:rsid w:val="5CE17342"/>
    <w:rsid w:val="5E944359"/>
    <w:rsid w:val="60C81C26"/>
    <w:rsid w:val="612C0C00"/>
    <w:rsid w:val="613564A6"/>
    <w:rsid w:val="615E1883"/>
    <w:rsid w:val="63330742"/>
    <w:rsid w:val="64054395"/>
    <w:rsid w:val="647817B8"/>
    <w:rsid w:val="650952F5"/>
    <w:rsid w:val="65AF4C4A"/>
    <w:rsid w:val="668C4783"/>
    <w:rsid w:val="67244948"/>
    <w:rsid w:val="676218DE"/>
    <w:rsid w:val="67730739"/>
    <w:rsid w:val="689250E0"/>
    <w:rsid w:val="69841EF0"/>
    <w:rsid w:val="6A0E6C90"/>
    <w:rsid w:val="6ADB4C7A"/>
    <w:rsid w:val="6BD11DC6"/>
    <w:rsid w:val="6E4B3DE4"/>
    <w:rsid w:val="6F2A55FF"/>
    <w:rsid w:val="6FAF2F7D"/>
    <w:rsid w:val="6FB36812"/>
    <w:rsid w:val="71436C89"/>
    <w:rsid w:val="720E4BBA"/>
    <w:rsid w:val="739752AA"/>
    <w:rsid w:val="75B227EB"/>
    <w:rsid w:val="75E93FED"/>
    <w:rsid w:val="75F61961"/>
    <w:rsid w:val="786F3C49"/>
    <w:rsid w:val="78CB23F9"/>
    <w:rsid w:val="78D0786A"/>
    <w:rsid w:val="79620279"/>
    <w:rsid w:val="798C151B"/>
    <w:rsid w:val="7AE9661E"/>
    <w:rsid w:val="7B7D2178"/>
    <w:rsid w:val="7C18242C"/>
    <w:rsid w:val="7E7C3A03"/>
    <w:rsid w:val="7E98686A"/>
    <w:rsid w:val="7F7D2C48"/>
    <w:rsid w:val="7F7E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A8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6BA8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BA8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6BA8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6BA8"/>
    <w:rPr>
      <w:rFonts w:ascii="Cambria" w:eastAsia="宋体" w:hAnsi="Cambria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AC6B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6BA8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C6B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6BA8"/>
    <w:rPr>
      <w:rFonts w:ascii="Calibri" w:hAnsi="Calibri" w:cs="Times New Roman"/>
      <w:sz w:val="18"/>
      <w:szCs w:val="18"/>
    </w:rPr>
  </w:style>
  <w:style w:type="character" w:customStyle="1" w:styleId="font01">
    <w:name w:val="font01"/>
    <w:basedOn w:val="DefaultParagraphFont"/>
    <w:uiPriority w:val="99"/>
    <w:rsid w:val="00AC6BA8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1">
    <w:name w:val="font21"/>
    <w:basedOn w:val="DefaultParagraphFont"/>
    <w:uiPriority w:val="99"/>
    <w:rsid w:val="00AC6BA8"/>
    <w:rPr>
      <w:rFonts w:ascii="font-weight : 400" w:hAnsi="font-weight : 400" w:cs="font-weight : 400"/>
      <w:color w:val="000000"/>
      <w:sz w:val="18"/>
      <w:szCs w:val="18"/>
      <w:u w:val="none"/>
    </w:rPr>
  </w:style>
  <w:style w:type="character" w:styleId="Hyperlink">
    <w:name w:val="Hyperlink"/>
    <w:basedOn w:val="DefaultParagraphFont"/>
    <w:uiPriority w:val="99"/>
    <w:rsid w:val="004E3E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131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31EA"/>
    <w:rPr>
      <w:rFonts w:ascii="Calibri" w:hAnsi="Calibri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01F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8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BA%A4%E7%BB%B4%E8%9B%8B%E7%99%B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7%BB%86%E8%83%9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6%9F%93%E8%89%B2%E4%BD%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4</Pages>
  <Words>509</Words>
  <Characters>2902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新增的16个重特大疾病医疗保障门诊病种</dc:title>
  <dc:subject/>
  <dc:creator>经适男</dc:creator>
  <cp:keywords/>
  <dc:description/>
  <cp:lastModifiedBy>AutoBVT</cp:lastModifiedBy>
  <cp:revision>11</cp:revision>
  <cp:lastPrinted>2018-04-03T01:13:00Z</cp:lastPrinted>
  <dcterms:created xsi:type="dcterms:W3CDTF">2018-03-29T11:57:00Z</dcterms:created>
  <dcterms:modified xsi:type="dcterms:W3CDTF">2018-04-03T03:06:00Z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